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8A" w:rsidRPr="00FE592D" w:rsidRDefault="00675B8A" w:rsidP="00AD4EA0">
      <w:pPr>
        <w:spacing w:before="120" w:after="120" w:line="240" w:lineRule="auto"/>
        <w:jc w:val="both"/>
        <w:rPr>
          <w:rFonts w:asciiTheme="majorBidi" w:hAnsiTheme="majorBidi" w:cstheme="majorBidi"/>
          <w:b/>
          <w:bCs/>
          <w:color w:val="000000"/>
        </w:rPr>
      </w:pPr>
      <w:r w:rsidRPr="00FE592D">
        <w:rPr>
          <w:rFonts w:asciiTheme="majorBidi" w:hAnsiTheme="majorBidi" w:cstheme="majorBidi"/>
          <w:b/>
          <w:bCs/>
          <w:lang w:bidi="ar-EG"/>
        </w:rPr>
        <w:t xml:space="preserve">A novel Interleukin </w:t>
      </w:r>
      <w:r w:rsidRPr="00FE592D">
        <w:rPr>
          <w:rFonts w:asciiTheme="majorBidi" w:hAnsiTheme="majorBidi" w:cstheme="majorBidi"/>
          <w:b/>
          <w:bCs/>
        </w:rPr>
        <w:t>-36γ</w:t>
      </w:r>
      <w:r w:rsidRPr="00FE592D">
        <w:rPr>
          <w:rFonts w:asciiTheme="majorBidi" w:hAnsiTheme="majorBidi" w:cstheme="majorBidi"/>
          <w:b/>
          <w:bCs/>
          <w:color w:val="000000"/>
        </w:rPr>
        <w:t xml:space="preserve"> for diagnosing and differentiating malignant from infectious pleural effusion.</w:t>
      </w:r>
    </w:p>
    <w:p w:rsidR="00675B8A" w:rsidRPr="00AD4EA0" w:rsidRDefault="00B7679F" w:rsidP="00D56819">
      <w:p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b/>
          <w:bCs/>
        </w:rPr>
        <w:t>Background:</w:t>
      </w:r>
      <w:r w:rsidRPr="00AD4EA0">
        <w:rPr>
          <w:rFonts w:asciiTheme="majorBidi" w:hAnsiTheme="majorBidi" w:cstheme="majorBidi"/>
        </w:rPr>
        <w:t xml:space="preserve"> </w:t>
      </w:r>
      <w:r w:rsidR="00675B8A" w:rsidRPr="00AD4EA0">
        <w:rPr>
          <w:rFonts w:asciiTheme="majorBidi" w:hAnsiTheme="majorBidi" w:cstheme="majorBidi"/>
        </w:rPr>
        <w:t xml:space="preserve">Pleural effusions can be caused by various diseases, making their diagnosis challenging. Light's criteria are often used to distinguish </w:t>
      </w:r>
      <w:proofErr w:type="spellStart"/>
      <w:r w:rsidR="00675B8A" w:rsidRPr="00AD4EA0">
        <w:rPr>
          <w:rFonts w:asciiTheme="majorBidi" w:hAnsiTheme="majorBidi" w:cstheme="majorBidi"/>
        </w:rPr>
        <w:t>transudative</w:t>
      </w:r>
      <w:proofErr w:type="spellEnd"/>
      <w:r w:rsidR="00675B8A" w:rsidRPr="00AD4EA0">
        <w:rPr>
          <w:rFonts w:asciiTheme="majorBidi" w:hAnsiTheme="majorBidi" w:cstheme="majorBidi"/>
        </w:rPr>
        <w:t xml:space="preserve"> and exudative effusions. Exudative effusions have a more complex etiology, including </w:t>
      </w:r>
      <w:proofErr w:type="spellStart"/>
      <w:r w:rsidR="00675B8A" w:rsidRPr="00AD4EA0">
        <w:rPr>
          <w:rFonts w:asciiTheme="majorBidi" w:hAnsiTheme="majorBidi" w:cstheme="majorBidi"/>
        </w:rPr>
        <w:t>parapneumonic</w:t>
      </w:r>
      <w:proofErr w:type="spellEnd"/>
      <w:r w:rsidR="00675B8A" w:rsidRPr="00AD4EA0">
        <w:rPr>
          <w:rFonts w:asciiTheme="majorBidi" w:hAnsiTheme="majorBidi" w:cstheme="majorBidi"/>
        </w:rPr>
        <w:t>, tuberculous, and malignant effusion.</w:t>
      </w:r>
      <w:r w:rsidR="00131EF4" w:rsidRPr="00AD4EA0">
        <w:rPr>
          <w:rFonts w:asciiTheme="majorBidi" w:hAnsiTheme="majorBidi" w:cstheme="majorBidi"/>
          <w:color w:val="000000"/>
        </w:rPr>
        <w:t xml:space="preserve"> </w:t>
      </w:r>
      <w:r w:rsidRPr="00AD4EA0">
        <w:rPr>
          <w:rFonts w:asciiTheme="majorBidi" w:hAnsiTheme="majorBidi" w:cstheme="majorBidi"/>
          <w:b/>
          <w:bCs/>
        </w:rPr>
        <w:t>Objectives:</w:t>
      </w:r>
      <w:r w:rsidRPr="00AD4EA0">
        <w:rPr>
          <w:rFonts w:asciiTheme="majorBidi" w:hAnsiTheme="majorBidi" w:cstheme="majorBidi"/>
          <w:color w:val="000000"/>
        </w:rPr>
        <w:t xml:space="preserve"> </w:t>
      </w:r>
      <w:r w:rsidR="00675B8A" w:rsidRPr="00AD4EA0">
        <w:rPr>
          <w:rFonts w:asciiTheme="majorBidi" w:hAnsiTheme="majorBidi" w:cstheme="majorBidi"/>
        </w:rPr>
        <w:t>Th</w:t>
      </w:r>
      <w:r w:rsidR="00131EF4" w:rsidRPr="00AD4EA0">
        <w:rPr>
          <w:rFonts w:asciiTheme="majorBidi" w:hAnsiTheme="majorBidi" w:cstheme="majorBidi"/>
        </w:rPr>
        <w:t>e main objective of this study wa</w:t>
      </w:r>
      <w:r w:rsidR="00675B8A" w:rsidRPr="00AD4EA0">
        <w:rPr>
          <w:rFonts w:asciiTheme="majorBidi" w:hAnsiTheme="majorBidi" w:cstheme="majorBidi"/>
        </w:rPr>
        <w:t>s to evaluate the effectiveness and sensitivity of Interleukin IL-36γ as a diagnostic marker for differentiating between malignant and infectious pleural effusions.</w:t>
      </w:r>
      <w:r w:rsidR="00131EF4" w:rsidRPr="00AD4EA0">
        <w:rPr>
          <w:rFonts w:asciiTheme="majorBidi" w:hAnsiTheme="majorBidi" w:cstheme="majorBidi"/>
          <w:color w:val="000000"/>
        </w:rPr>
        <w:t xml:space="preserve"> </w:t>
      </w:r>
      <w:r w:rsidRPr="00AD4EA0">
        <w:rPr>
          <w:rFonts w:asciiTheme="majorBidi" w:hAnsiTheme="majorBidi" w:cstheme="majorBidi"/>
          <w:b/>
          <w:bCs/>
        </w:rPr>
        <w:t>Methods:</w:t>
      </w:r>
      <w:r w:rsidRPr="00AD4EA0">
        <w:rPr>
          <w:rFonts w:asciiTheme="majorBidi" w:hAnsiTheme="majorBidi" w:cstheme="majorBidi"/>
        </w:rPr>
        <w:t xml:space="preserve"> </w:t>
      </w:r>
      <w:r w:rsidR="00675B8A" w:rsidRPr="00AD4EA0">
        <w:rPr>
          <w:rFonts w:asciiTheme="majorBidi" w:hAnsiTheme="majorBidi" w:cstheme="majorBidi"/>
        </w:rPr>
        <w:t>The study involved 100 patients with pleural effusion. Patients were categorized into five groups based on their final diagnosis. An ELISA technique was used to quantitatively measure the levels of pleural fluid IL-36γ.</w:t>
      </w:r>
      <w:r w:rsidR="00131EF4" w:rsidRPr="00AD4EA0">
        <w:rPr>
          <w:rFonts w:asciiTheme="majorBidi" w:hAnsiTheme="majorBidi" w:cstheme="majorBidi"/>
          <w:color w:val="000000"/>
        </w:rPr>
        <w:t xml:space="preserve"> </w:t>
      </w:r>
      <w:r w:rsidRPr="00AD4EA0">
        <w:rPr>
          <w:rFonts w:asciiTheme="majorBidi" w:hAnsiTheme="majorBidi" w:cstheme="majorBidi"/>
          <w:b/>
          <w:bCs/>
        </w:rPr>
        <w:t>Results:</w:t>
      </w:r>
      <w:r w:rsidRPr="00AD4EA0">
        <w:rPr>
          <w:rFonts w:asciiTheme="majorBidi" w:hAnsiTheme="majorBidi" w:cstheme="majorBidi"/>
          <w:lang w:bidi="ar-EG"/>
        </w:rPr>
        <w:t xml:space="preserve"> </w:t>
      </w:r>
      <w:r w:rsidR="00675B8A" w:rsidRPr="00AD4EA0">
        <w:rPr>
          <w:rFonts w:asciiTheme="majorBidi" w:hAnsiTheme="majorBidi" w:cstheme="majorBidi"/>
        </w:rPr>
        <w:t xml:space="preserve">The results showed that pleural IL-36γ levels were higher in tuberculous pleural effusion compared to malignant, </w:t>
      </w:r>
      <w:proofErr w:type="spellStart"/>
      <w:r w:rsidR="00675B8A" w:rsidRPr="00AD4EA0">
        <w:rPr>
          <w:rFonts w:asciiTheme="majorBidi" w:hAnsiTheme="majorBidi" w:cstheme="majorBidi"/>
        </w:rPr>
        <w:t>transudative</w:t>
      </w:r>
      <w:proofErr w:type="spellEnd"/>
      <w:r w:rsidR="00675B8A" w:rsidRPr="00AD4EA0">
        <w:rPr>
          <w:rFonts w:asciiTheme="majorBidi" w:hAnsiTheme="majorBidi" w:cstheme="majorBidi"/>
        </w:rPr>
        <w:t xml:space="preserve">, and uncomplicated pleural effusion. In contrast, pleural IL-36γ levels were higher in complicated pleural effusion compared to tuberculous, malignant, </w:t>
      </w:r>
      <w:proofErr w:type="spellStart"/>
      <w:r w:rsidR="00675B8A" w:rsidRPr="00AD4EA0">
        <w:rPr>
          <w:rFonts w:asciiTheme="majorBidi" w:hAnsiTheme="majorBidi" w:cstheme="majorBidi"/>
        </w:rPr>
        <w:t>transudative</w:t>
      </w:r>
      <w:proofErr w:type="spellEnd"/>
      <w:r w:rsidR="00675B8A" w:rsidRPr="00AD4EA0">
        <w:rPr>
          <w:rFonts w:asciiTheme="majorBidi" w:hAnsiTheme="majorBidi" w:cstheme="majorBidi"/>
        </w:rPr>
        <w:t>, and uncomplicated pleural effusion.</w:t>
      </w:r>
      <w:r w:rsidR="00131EF4" w:rsidRPr="00AD4EA0">
        <w:rPr>
          <w:rFonts w:asciiTheme="majorBidi" w:hAnsiTheme="majorBidi" w:cstheme="majorBidi"/>
          <w:color w:val="000000"/>
        </w:rPr>
        <w:t xml:space="preserve"> </w:t>
      </w:r>
      <w:r w:rsidRPr="00AD4EA0">
        <w:rPr>
          <w:rFonts w:asciiTheme="majorBidi" w:hAnsiTheme="majorBidi" w:cstheme="majorBidi"/>
          <w:b/>
          <w:bCs/>
        </w:rPr>
        <w:t>Conclusion:</w:t>
      </w:r>
      <w:r w:rsidRPr="00AD4EA0">
        <w:rPr>
          <w:rFonts w:asciiTheme="majorBidi" w:hAnsiTheme="majorBidi" w:cstheme="majorBidi"/>
          <w:lang w:bidi="ar-EG"/>
        </w:rPr>
        <w:t xml:space="preserve"> </w:t>
      </w:r>
      <w:r w:rsidR="00D56819" w:rsidRPr="003A1DDA">
        <w:rPr>
          <w:rFonts w:asciiTheme="majorBidi" w:hAnsiTheme="majorBidi" w:cstheme="majorBidi"/>
          <w:color w:val="FF0000"/>
        </w:rPr>
        <w:t>I</w:t>
      </w:r>
      <w:r w:rsidR="00675B8A" w:rsidRPr="003A1DDA">
        <w:rPr>
          <w:rFonts w:asciiTheme="majorBidi" w:hAnsiTheme="majorBidi" w:cstheme="majorBidi"/>
          <w:color w:val="FF0000"/>
        </w:rPr>
        <w:t xml:space="preserve">t was concluded that pleural IL-36γ </w:t>
      </w:r>
      <w:r w:rsidR="00675B8A" w:rsidRPr="00AD4EA0">
        <w:rPr>
          <w:rFonts w:asciiTheme="majorBidi" w:hAnsiTheme="majorBidi" w:cstheme="majorBidi"/>
        </w:rPr>
        <w:t>is a novel biomarker that can be used to diagnose and differentiate malignant pleural effusion from infectious pleural effusion.</w:t>
      </w:r>
    </w:p>
    <w:p w:rsidR="001C5201" w:rsidRPr="00AD4EA0" w:rsidRDefault="00B7679F"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b/>
          <w:bCs/>
        </w:rPr>
        <w:t>Key words:</w:t>
      </w:r>
      <w:r w:rsidRPr="00AD4EA0">
        <w:rPr>
          <w:rFonts w:asciiTheme="majorBidi" w:hAnsiTheme="majorBidi" w:cstheme="majorBidi"/>
        </w:rPr>
        <w:t xml:space="preserve"> pleural effusion, Interleukin 36, Tuberculous pleural effusion</w:t>
      </w:r>
      <w:r w:rsidRPr="00AD4EA0">
        <w:rPr>
          <w:rFonts w:asciiTheme="majorBidi" w:hAnsiTheme="majorBidi" w:cstheme="majorBidi"/>
          <w:color w:val="000000"/>
        </w:rPr>
        <w:t>.</w:t>
      </w:r>
    </w:p>
    <w:p w:rsidR="00386BD3" w:rsidRDefault="00386BD3" w:rsidP="00AD4EA0">
      <w:pPr>
        <w:autoSpaceDE w:val="0"/>
        <w:autoSpaceDN w:val="0"/>
        <w:adjustRightInd w:val="0"/>
        <w:spacing w:before="120" w:after="120" w:line="240" w:lineRule="auto"/>
        <w:jc w:val="both"/>
        <w:rPr>
          <w:rFonts w:asciiTheme="majorBidi" w:hAnsiTheme="majorBidi" w:cstheme="majorBidi"/>
          <w:b/>
          <w:bCs/>
          <w:color w:val="000000"/>
        </w:rPr>
        <w:sectPr w:rsidR="00386BD3" w:rsidSect="00BE246B">
          <w:pgSz w:w="11906" w:h="16838" w:code="9"/>
          <w:pgMar w:top="720" w:right="720" w:bottom="720" w:left="720" w:header="720" w:footer="720" w:gutter="0"/>
          <w:cols w:space="720"/>
          <w:docGrid w:linePitch="360"/>
        </w:sectPr>
      </w:pPr>
    </w:p>
    <w:p w:rsidR="001C5201" w:rsidRPr="00AD4EA0" w:rsidRDefault="00B7679F" w:rsidP="00AD4EA0">
      <w:pPr>
        <w:autoSpaceDE w:val="0"/>
        <w:autoSpaceDN w:val="0"/>
        <w:adjustRightInd w:val="0"/>
        <w:spacing w:before="120" w:after="120" w:line="240" w:lineRule="auto"/>
        <w:jc w:val="both"/>
        <w:rPr>
          <w:rFonts w:asciiTheme="majorBidi" w:hAnsiTheme="majorBidi" w:cstheme="majorBidi"/>
          <w:b/>
          <w:bCs/>
          <w:color w:val="000000"/>
        </w:rPr>
      </w:pPr>
      <w:r w:rsidRPr="00AD4EA0">
        <w:rPr>
          <w:rFonts w:asciiTheme="majorBidi" w:hAnsiTheme="majorBidi" w:cstheme="majorBidi"/>
          <w:b/>
          <w:bCs/>
          <w:color w:val="000000"/>
        </w:rPr>
        <w:lastRenderedPageBreak/>
        <w:t>Introduction:</w:t>
      </w:r>
    </w:p>
    <w:p w:rsidR="001C5201" w:rsidRPr="00AD4EA0" w:rsidRDefault="00675B8A" w:rsidP="00386BD3">
      <w:pPr>
        <w:autoSpaceDE w:val="0"/>
        <w:autoSpaceDN w:val="0"/>
        <w:adjustRightInd w:val="0"/>
        <w:spacing w:before="120" w:after="120" w:line="240" w:lineRule="auto"/>
        <w:ind w:firstLine="720"/>
        <w:jc w:val="both"/>
        <w:rPr>
          <w:rFonts w:asciiTheme="majorBidi" w:hAnsiTheme="majorBidi" w:cstheme="majorBidi"/>
        </w:rPr>
      </w:pPr>
      <w:r w:rsidRPr="00AD4EA0">
        <w:rPr>
          <w:rFonts w:asciiTheme="majorBidi" w:hAnsiTheme="majorBidi" w:cstheme="majorBidi"/>
        </w:rPr>
        <w:t xml:space="preserve">Exudative pleural effusions are characterized by a complex etiology and are typically associated with conditions such as </w:t>
      </w:r>
      <w:proofErr w:type="spellStart"/>
      <w:r w:rsidRPr="00AD4EA0">
        <w:rPr>
          <w:rFonts w:asciiTheme="majorBidi" w:hAnsiTheme="majorBidi" w:cstheme="majorBidi"/>
        </w:rPr>
        <w:t>parapneumonic</w:t>
      </w:r>
      <w:proofErr w:type="spellEnd"/>
      <w:r w:rsidR="00533D35" w:rsidRPr="00AD4EA0">
        <w:rPr>
          <w:rFonts w:asciiTheme="majorBidi" w:hAnsiTheme="majorBidi" w:cstheme="majorBidi"/>
        </w:rPr>
        <w:t xml:space="preserve"> pleural</w:t>
      </w:r>
      <w:r w:rsidRPr="00AD4EA0">
        <w:rPr>
          <w:rFonts w:asciiTheme="majorBidi" w:hAnsiTheme="majorBidi" w:cstheme="majorBidi"/>
        </w:rPr>
        <w:t xml:space="preserve"> effusion (PPE), tuberculous pleural effusion (TPE), and malignant pleural effusion (MPE)</w:t>
      </w:r>
      <w:r w:rsidR="00543DC0">
        <w:rPr>
          <w:rFonts w:asciiTheme="majorBidi" w:hAnsiTheme="majorBidi" w:cstheme="majorBidi"/>
        </w:rPr>
        <w:t xml:space="preserve"> </w:t>
      </w:r>
      <w:r w:rsidR="003471C1" w:rsidRPr="00AD4EA0">
        <w:rPr>
          <w:rFonts w:asciiTheme="majorBidi" w:eastAsia="Times New Roman" w:hAnsiTheme="majorBidi" w:cstheme="majorBidi"/>
          <w:kern w:val="36"/>
        </w:rPr>
        <w:t>[1].</w:t>
      </w:r>
    </w:p>
    <w:p w:rsidR="00F10B1F" w:rsidRPr="00AD4EA0" w:rsidRDefault="00E86731" w:rsidP="0036461B">
      <w:pPr>
        <w:autoSpaceDE w:val="0"/>
        <w:autoSpaceDN w:val="0"/>
        <w:adjustRightInd w:val="0"/>
        <w:spacing w:before="120" w:after="120" w:line="240" w:lineRule="auto"/>
        <w:ind w:firstLine="720"/>
        <w:jc w:val="both"/>
        <w:rPr>
          <w:rFonts w:asciiTheme="majorBidi" w:hAnsiTheme="majorBidi" w:cstheme="majorBidi"/>
        </w:rPr>
      </w:pPr>
      <w:r w:rsidRPr="00AD4EA0">
        <w:rPr>
          <w:rFonts w:asciiTheme="majorBidi" w:hAnsiTheme="majorBidi" w:cstheme="majorBidi"/>
        </w:rPr>
        <w:t>PPE is an exudative</w:t>
      </w:r>
      <w:r w:rsidR="004B5D70">
        <w:rPr>
          <w:rFonts w:asciiTheme="majorBidi" w:hAnsiTheme="majorBidi" w:cstheme="majorBidi"/>
        </w:rPr>
        <w:t xml:space="preserve"> pleural effusion that is known by presence of fluid between the two pleural layers with underlying </w:t>
      </w:r>
      <w:r w:rsidRPr="00AD4EA0">
        <w:rPr>
          <w:rFonts w:asciiTheme="majorBidi" w:hAnsiTheme="majorBidi" w:cstheme="majorBidi"/>
        </w:rPr>
        <w:t xml:space="preserve">lung infection on the same side (ipsilateral) of the chest. </w:t>
      </w:r>
      <w:r w:rsidRPr="003A1DDA">
        <w:rPr>
          <w:rFonts w:asciiTheme="majorBidi" w:hAnsiTheme="majorBidi" w:cstheme="majorBidi"/>
          <w:color w:val="FF0000"/>
        </w:rPr>
        <w:t xml:space="preserve">PPE can be categorized into three stages: </w:t>
      </w:r>
      <w:r w:rsidR="0036461B" w:rsidRPr="003A1DDA">
        <w:rPr>
          <w:rFonts w:asciiTheme="majorBidi" w:hAnsiTheme="majorBidi" w:cstheme="majorBidi"/>
          <w:color w:val="FF0000"/>
        </w:rPr>
        <w:t xml:space="preserve">uncomplicated </w:t>
      </w:r>
      <w:proofErr w:type="spellStart"/>
      <w:r w:rsidR="0036461B" w:rsidRPr="003A1DDA">
        <w:rPr>
          <w:rFonts w:asciiTheme="majorBidi" w:hAnsiTheme="majorBidi" w:cstheme="majorBidi"/>
          <w:color w:val="FF0000"/>
        </w:rPr>
        <w:t>parapneumonic</w:t>
      </w:r>
      <w:proofErr w:type="spellEnd"/>
      <w:r w:rsidR="0036461B" w:rsidRPr="003A1DDA">
        <w:rPr>
          <w:rFonts w:asciiTheme="majorBidi" w:hAnsiTheme="majorBidi" w:cstheme="majorBidi"/>
          <w:color w:val="FF0000"/>
        </w:rPr>
        <w:t xml:space="preserve"> effusion (UPPE), </w:t>
      </w:r>
      <w:r w:rsidRPr="003A1DDA">
        <w:rPr>
          <w:rFonts w:asciiTheme="majorBidi" w:hAnsiTheme="majorBidi" w:cstheme="majorBidi"/>
          <w:color w:val="FF0000"/>
        </w:rPr>
        <w:t xml:space="preserve">complicated </w:t>
      </w:r>
      <w:proofErr w:type="spellStart"/>
      <w:r w:rsidRPr="003A1DDA">
        <w:rPr>
          <w:rFonts w:asciiTheme="majorBidi" w:hAnsiTheme="majorBidi" w:cstheme="majorBidi"/>
          <w:color w:val="FF0000"/>
        </w:rPr>
        <w:t>parapneumonic</w:t>
      </w:r>
      <w:proofErr w:type="spellEnd"/>
      <w:r w:rsidRPr="003A1DDA">
        <w:rPr>
          <w:rFonts w:asciiTheme="majorBidi" w:hAnsiTheme="majorBidi" w:cstheme="majorBidi"/>
          <w:color w:val="FF0000"/>
        </w:rPr>
        <w:t xml:space="preserve"> effusion (CPPE), and </w:t>
      </w:r>
      <w:r w:rsidR="0036461B" w:rsidRPr="003A1DDA">
        <w:rPr>
          <w:rFonts w:asciiTheme="majorBidi" w:hAnsiTheme="majorBidi" w:cstheme="majorBidi"/>
          <w:color w:val="FF0000"/>
        </w:rPr>
        <w:t>thoracic empyema</w:t>
      </w:r>
      <w:r w:rsidR="0036461B">
        <w:rPr>
          <w:rFonts w:asciiTheme="majorBidi" w:hAnsiTheme="majorBidi" w:cstheme="majorBidi"/>
        </w:rPr>
        <w:t xml:space="preserve"> </w:t>
      </w:r>
      <w:r w:rsidR="004B5D70">
        <w:rPr>
          <w:rFonts w:asciiTheme="majorBidi" w:eastAsia="Times New Roman" w:hAnsiTheme="majorBidi" w:cstheme="majorBidi"/>
          <w:kern w:val="36"/>
        </w:rPr>
        <w:t>[2</w:t>
      </w:r>
      <w:r w:rsidR="003471C1" w:rsidRPr="00AD4EA0">
        <w:rPr>
          <w:rFonts w:asciiTheme="majorBidi" w:eastAsia="Times New Roman" w:hAnsiTheme="majorBidi" w:cstheme="majorBidi"/>
          <w:kern w:val="36"/>
        </w:rPr>
        <w:t>].</w:t>
      </w:r>
    </w:p>
    <w:p w:rsidR="00F709FC" w:rsidRDefault="00E86731" w:rsidP="00F709FC">
      <w:pPr>
        <w:autoSpaceDE w:val="0"/>
        <w:autoSpaceDN w:val="0"/>
        <w:adjustRightInd w:val="0"/>
        <w:spacing w:before="120" w:after="120" w:line="240" w:lineRule="auto"/>
        <w:ind w:firstLine="720"/>
        <w:jc w:val="both"/>
        <w:rPr>
          <w:rFonts w:asciiTheme="majorBidi" w:hAnsiTheme="majorBidi" w:cstheme="majorBidi"/>
        </w:rPr>
      </w:pPr>
      <w:r w:rsidRPr="00AD4EA0">
        <w:rPr>
          <w:rFonts w:asciiTheme="majorBidi" w:hAnsiTheme="majorBidi" w:cstheme="majorBidi"/>
        </w:rPr>
        <w:t>Distinguishing between UPPE and CPPE/empyema is crucial in clinical practice because it significantly influences treatment decisions. UPPE can often be managed with appropriate antibiotics, while CPPE and empyema usually require more aggressive interventions like pleural drainage or surgery</w:t>
      </w:r>
      <w:r w:rsidR="00B77A5F">
        <w:rPr>
          <w:rFonts w:asciiTheme="majorBidi" w:hAnsiTheme="majorBidi" w:cstheme="majorBidi"/>
        </w:rPr>
        <w:t xml:space="preserve"> [</w:t>
      </w:r>
      <w:r w:rsidR="00B77A5F">
        <w:rPr>
          <w:rFonts w:asciiTheme="majorBidi" w:hAnsiTheme="majorBidi" w:cstheme="majorBidi"/>
          <w:color w:val="000000"/>
        </w:rPr>
        <w:t>3</w:t>
      </w:r>
      <w:r w:rsidR="00B77A5F" w:rsidRPr="00AD4EA0">
        <w:rPr>
          <w:rFonts w:asciiTheme="majorBidi" w:hAnsiTheme="majorBidi" w:cstheme="majorBidi"/>
          <w:color w:val="000000"/>
        </w:rPr>
        <w:t>].</w:t>
      </w:r>
    </w:p>
    <w:p w:rsidR="00FD2000" w:rsidRPr="00AD4EA0" w:rsidRDefault="00FD2000" w:rsidP="00F709FC">
      <w:pPr>
        <w:autoSpaceDE w:val="0"/>
        <w:autoSpaceDN w:val="0"/>
        <w:adjustRightInd w:val="0"/>
        <w:spacing w:before="120" w:after="120" w:line="240" w:lineRule="auto"/>
        <w:ind w:firstLine="720"/>
        <w:jc w:val="both"/>
        <w:rPr>
          <w:rFonts w:asciiTheme="majorBidi" w:hAnsiTheme="majorBidi" w:cstheme="majorBidi"/>
        </w:rPr>
      </w:pPr>
      <w:r w:rsidRPr="00AD4EA0">
        <w:rPr>
          <w:rFonts w:asciiTheme="majorBidi" w:hAnsiTheme="majorBidi" w:cstheme="majorBidi"/>
        </w:rPr>
        <w:t xml:space="preserve">Clinically, there can be difficulty in differentiating between tuberculous pleural </w:t>
      </w:r>
      <w:r w:rsidR="00B77A5F">
        <w:rPr>
          <w:rFonts w:asciiTheme="majorBidi" w:hAnsiTheme="majorBidi" w:cstheme="majorBidi"/>
        </w:rPr>
        <w:t xml:space="preserve">effusion (TPE) and </w:t>
      </w:r>
      <w:proofErr w:type="spellStart"/>
      <w:r w:rsidRPr="00AD4EA0">
        <w:rPr>
          <w:rFonts w:asciiTheme="majorBidi" w:hAnsiTheme="majorBidi" w:cstheme="majorBidi"/>
        </w:rPr>
        <w:t>parapneumon</w:t>
      </w:r>
      <w:r w:rsidR="00B77A5F">
        <w:rPr>
          <w:rFonts w:asciiTheme="majorBidi" w:hAnsiTheme="majorBidi" w:cstheme="majorBidi"/>
        </w:rPr>
        <w:t>ic</w:t>
      </w:r>
      <w:proofErr w:type="spellEnd"/>
      <w:r w:rsidR="00B77A5F">
        <w:rPr>
          <w:rFonts w:asciiTheme="majorBidi" w:hAnsiTheme="majorBidi" w:cstheme="majorBidi"/>
        </w:rPr>
        <w:t xml:space="preserve"> effusion (</w:t>
      </w:r>
      <w:r w:rsidRPr="00AD4EA0">
        <w:rPr>
          <w:rFonts w:asciiTheme="majorBidi" w:hAnsiTheme="majorBidi" w:cstheme="majorBidi"/>
        </w:rPr>
        <w:t>PPE) due to similarities in both clinical presentation and laboratory findings. This highlights the need for effective diagnostic tools and markers, such as the IL-36γ biomarker to aid in the differentiation of these conditions</w:t>
      </w:r>
      <w:r w:rsidR="00B77A5F">
        <w:rPr>
          <w:rFonts w:asciiTheme="majorBidi" w:hAnsiTheme="majorBidi" w:cstheme="majorBidi"/>
        </w:rPr>
        <w:t xml:space="preserve"> [4].</w:t>
      </w:r>
      <w:r w:rsidRPr="00AD4EA0">
        <w:rPr>
          <w:rFonts w:asciiTheme="majorBidi" w:hAnsiTheme="majorBidi" w:cstheme="majorBidi"/>
        </w:rPr>
        <w:t xml:space="preserve"> </w:t>
      </w:r>
    </w:p>
    <w:p w:rsidR="001C5201" w:rsidRPr="00AD4EA0" w:rsidRDefault="004E701C" w:rsidP="00543DC0">
      <w:pPr>
        <w:autoSpaceDE w:val="0"/>
        <w:autoSpaceDN w:val="0"/>
        <w:adjustRightInd w:val="0"/>
        <w:spacing w:before="120" w:after="120" w:line="240" w:lineRule="auto"/>
        <w:ind w:firstLine="720"/>
        <w:jc w:val="both"/>
        <w:rPr>
          <w:rFonts w:asciiTheme="majorBidi" w:hAnsiTheme="majorBidi" w:cstheme="majorBidi"/>
        </w:rPr>
      </w:pPr>
      <w:r w:rsidRPr="004E701C">
        <w:rPr>
          <w:rFonts w:asciiTheme="majorBidi" w:hAnsiTheme="majorBidi" w:cstheme="majorBidi"/>
        </w:rPr>
        <w:t>The interleukin (IL)-36 cytokines are comprised of IL-36 receptor antagonis</w:t>
      </w:r>
      <w:r>
        <w:rPr>
          <w:rFonts w:asciiTheme="majorBidi" w:hAnsiTheme="majorBidi" w:cstheme="majorBidi"/>
        </w:rPr>
        <w:t>t (IL-36Ra</w:t>
      </w:r>
      <w:proofErr w:type="gramStart"/>
      <w:r>
        <w:rPr>
          <w:rFonts w:asciiTheme="majorBidi" w:hAnsiTheme="majorBidi" w:cstheme="majorBidi"/>
        </w:rPr>
        <w:t xml:space="preserve">), </w:t>
      </w:r>
      <w:r w:rsidRPr="004E701C">
        <w:rPr>
          <w:rFonts w:asciiTheme="majorBidi" w:hAnsiTheme="majorBidi" w:cstheme="majorBidi"/>
        </w:rPr>
        <w:t xml:space="preserve"> anti</w:t>
      </w:r>
      <w:proofErr w:type="gramEnd"/>
      <w:r w:rsidRPr="004E701C">
        <w:rPr>
          <w:rFonts w:asciiTheme="majorBidi" w:hAnsiTheme="majorBidi" w:cstheme="majorBidi"/>
        </w:rPr>
        <w:t>-</w:t>
      </w:r>
      <w:r>
        <w:rPr>
          <w:rFonts w:asciiTheme="majorBidi" w:hAnsiTheme="majorBidi" w:cstheme="majorBidi"/>
        </w:rPr>
        <w:t>inflammatory cytokine, and 3</w:t>
      </w:r>
      <w:r w:rsidRPr="004E701C">
        <w:rPr>
          <w:rFonts w:asciiTheme="majorBidi" w:hAnsiTheme="majorBidi" w:cstheme="majorBidi"/>
        </w:rPr>
        <w:t xml:space="preserve"> pro-inflammatory cytokines, IL-36α, IL-36β, and IL-36η. These cytokines are involved in the immune r</w:t>
      </w:r>
      <w:r>
        <w:rPr>
          <w:rFonts w:asciiTheme="majorBidi" w:hAnsiTheme="majorBidi" w:cstheme="majorBidi"/>
        </w:rPr>
        <w:t>esponse in a number of ways. Minimal</w:t>
      </w:r>
      <w:r w:rsidRPr="004E701C">
        <w:rPr>
          <w:rFonts w:asciiTheme="majorBidi" w:hAnsiTheme="majorBidi" w:cstheme="majorBidi"/>
        </w:rPr>
        <w:t xml:space="preserve"> amounts of IL-36 cytokines are produced in a wide range of organs, and their expression patterns vary. Notably, among other organs, the lung is known to express and induce IL-36γ at the highest level. </w:t>
      </w:r>
      <w:r w:rsidR="00F41DAB">
        <w:rPr>
          <w:rFonts w:asciiTheme="majorBidi" w:hAnsiTheme="majorBidi" w:cstheme="majorBidi"/>
          <w:color w:val="000000"/>
        </w:rPr>
        <w:t>[3</w:t>
      </w:r>
      <w:r w:rsidR="003471C1" w:rsidRPr="00AD4EA0">
        <w:rPr>
          <w:rFonts w:asciiTheme="majorBidi" w:hAnsiTheme="majorBidi" w:cstheme="majorBidi"/>
          <w:color w:val="000000"/>
        </w:rPr>
        <w:t>]</w:t>
      </w:r>
      <w:r w:rsidR="00B7679F" w:rsidRPr="00AD4EA0">
        <w:rPr>
          <w:rFonts w:asciiTheme="majorBidi" w:hAnsiTheme="majorBidi" w:cstheme="majorBidi"/>
          <w:color w:val="000000"/>
        </w:rPr>
        <w:t>.</w:t>
      </w:r>
    </w:p>
    <w:p w:rsidR="001C5201" w:rsidRPr="00AD4EA0" w:rsidRDefault="00FD2000" w:rsidP="004E701C">
      <w:pPr>
        <w:autoSpaceDE w:val="0"/>
        <w:autoSpaceDN w:val="0"/>
        <w:adjustRightInd w:val="0"/>
        <w:spacing w:before="120" w:after="120" w:line="240" w:lineRule="auto"/>
        <w:ind w:firstLine="720"/>
        <w:jc w:val="both"/>
        <w:rPr>
          <w:rFonts w:asciiTheme="majorBidi" w:hAnsiTheme="majorBidi" w:cstheme="majorBidi"/>
        </w:rPr>
      </w:pPr>
      <w:r w:rsidRPr="00AD4EA0">
        <w:rPr>
          <w:rFonts w:asciiTheme="majorBidi" w:hAnsiTheme="majorBidi" w:cstheme="majorBidi"/>
        </w:rPr>
        <w:t xml:space="preserve">It has been observed that WNT5A-induced non-classical WNT signaling mediated by IL-36γ has a role in promoting the </w:t>
      </w:r>
      <w:r w:rsidR="004E701C" w:rsidRPr="004E701C">
        <w:rPr>
          <w:rFonts w:asciiTheme="majorBidi" w:hAnsiTheme="majorBidi" w:cstheme="majorBidi"/>
        </w:rPr>
        <w:t xml:space="preserve">executing </w:t>
      </w:r>
      <w:r w:rsidRPr="00AD4EA0">
        <w:rPr>
          <w:rFonts w:asciiTheme="majorBidi" w:hAnsiTheme="majorBidi" w:cstheme="majorBidi"/>
        </w:rPr>
        <w:t>of Mycobacterium tuberculosis (</w:t>
      </w:r>
      <w:proofErr w:type="spellStart"/>
      <w:r w:rsidRPr="00AD4EA0">
        <w:rPr>
          <w:rFonts w:asciiTheme="majorBidi" w:hAnsiTheme="majorBidi" w:cstheme="majorBidi"/>
        </w:rPr>
        <w:t>Mtb</w:t>
      </w:r>
      <w:proofErr w:type="spellEnd"/>
      <w:r w:rsidRPr="00AD4EA0">
        <w:rPr>
          <w:rFonts w:asciiTheme="majorBidi" w:hAnsiTheme="majorBidi" w:cstheme="majorBidi"/>
        </w:rPr>
        <w:t xml:space="preserve">) by macrophages. </w:t>
      </w:r>
      <w:r w:rsidR="004E701C" w:rsidRPr="004E701C">
        <w:rPr>
          <w:rFonts w:asciiTheme="majorBidi" w:hAnsiTheme="majorBidi" w:cstheme="majorBidi"/>
        </w:rPr>
        <w:t xml:space="preserve">It implies </w:t>
      </w:r>
      <w:r w:rsidRPr="00AD4EA0">
        <w:rPr>
          <w:rFonts w:asciiTheme="majorBidi" w:hAnsiTheme="majorBidi" w:cstheme="majorBidi"/>
        </w:rPr>
        <w:t xml:space="preserve">that IL-36γ </w:t>
      </w:r>
      <w:r w:rsidR="004E701C" w:rsidRPr="004E701C">
        <w:rPr>
          <w:rFonts w:asciiTheme="majorBidi" w:hAnsiTheme="majorBidi" w:cstheme="majorBidi"/>
        </w:rPr>
        <w:t xml:space="preserve">might play a part </w:t>
      </w:r>
      <w:r w:rsidRPr="00AD4EA0">
        <w:rPr>
          <w:rFonts w:asciiTheme="majorBidi" w:hAnsiTheme="majorBidi" w:cstheme="majorBidi"/>
        </w:rPr>
        <w:t xml:space="preserve">in modulating the immune response and host defense mechanisms against </w:t>
      </w:r>
      <w:proofErr w:type="spellStart"/>
      <w:r w:rsidRPr="00AD4EA0">
        <w:rPr>
          <w:rFonts w:asciiTheme="majorBidi" w:hAnsiTheme="majorBidi" w:cstheme="majorBidi"/>
        </w:rPr>
        <w:t>Mtb</w:t>
      </w:r>
      <w:proofErr w:type="spellEnd"/>
      <w:r w:rsidRPr="00AD4EA0">
        <w:rPr>
          <w:rFonts w:asciiTheme="majorBidi" w:hAnsiTheme="majorBidi" w:cstheme="majorBidi"/>
        </w:rPr>
        <w:t xml:space="preserve"> </w:t>
      </w:r>
      <w:r w:rsidRPr="00AD4EA0">
        <w:rPr>
          <w:rFonts w:asciiTheme="majorBidi" w:hAnsiTheme="majorBidi" w:cstheme="majorBidi"/>
        </w:rPr>
        <w:lastRenderedPageBreak/>
        <w:t xml:space="preserve">infection, potentially making it a significant factor in the context of tuberculosis </w:t>
      </w:r>
      <w:r w:rsidR="00F709FC">
        <w:rPr>
          <w:rFonts w:asciiTheme="majorBidi" w:hAnsiTheme="majorBidi" w:cstheme="majorBidi"/>
          <w:color w:val="000000"/>
        </w:rPr>
        <w:t>[5</w:t>
      </w:r>
      <w:r w:rsidR="003471C1" w:rsidRPr="00AD4EA0">
        <w:rPr>
          <w:rFonts w:asciiTheme="majorBidi" w:hAnsiTheme="majorBidi" w:cstheme="majorBidi"/>
          <w:color w:val="000000"/>
        </w:rPr>
        <w:t>]</w:t>
      </w:r>
      <w:r w:rsidR="00B7679F" w:rsidRPr="00AD4EA0">
        <w:rPr>
          <w:rFonts w:asciiTheme="majorBidi" w:hAnsiTheme="majorBidi" w:cstheme="majorBidi"/>
          <w:color w:val="000000"/>
        </w:rPr>
        <w:t>.</w:t>
      </w:r>
    </w:p>
    <w:p w:rsidR="001C5201" w:rsidRDefault="00B7679F" w:rsidP="00503E95">
      <w:p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b/>
          <w:bCs/>
          <w:color w:val="000000"/>
        </w:rPr>
        <w:t>Patients and methods:</w:t>
      </w:r>
      <w:r w:rsidRPr="00AD4EA0">
        <w:rPr>
          <w:rFonts w:asciiTheme="majorBidi" w:hAnsiTheme="majorBidi" w:cstheme="majorBidi"/>
          <w:color w:val="000000"/>
        </w:rPr>
        <w:t xml:space="preserve"> </w:t>
      </w:r>
      <w:r w:rsidR="00FD2000" w:rsidRPr="00AD4EA0">
        <w:rPr>
          <w:rFonts w:asciiTheme="majorBidi" w:hAnsiTheme="majorBidi" w:cstheme="majorBidi"/>
          <w:color w:val="000000"/>
        </w:rPr>
        <w:t xml:space="preserve">The study was conducted following established ethical standards and received the necessary approvals (RC.19.3.2023). All participants were provided with information about the study's objectives and details, and they gave their informed consent to participate. </w:t>
      </w:r>
    </w:p>
    <w:p w:rsidR="00B01B2B" w:rsidRPr="00B01B2B" w:rsidRDefault="00B01B2B" w:rsidP="00B01B2B">
      <w:pPr>
        <w:autoSpaceDE w:val="0"/>
        <w:autoSpaceDN w:val="0"/>
        <w:adjustRightInd w:val="0"/>
        <w:spacing w:before="120" w:after="120" w:line="240" w:lineRule="auto"/>
        <w:jc w:val="both"/>
        <w:rPr>
          <w:rFonts w:asciiTheme="majorBidi" w:hAnsiTheme="majorBidi" w:cstheme="majorBidi"/>
          <w:color w:val="FF0000"/>
        </w:rPr>
      </w:pPr>
      <w:r w:rsidRPr="00B01B2B">
        <w:rPr>
          <w:rFonts w:asciiTheme="majorBidi" w:hAnsiTheme="majorBidi" w:cstheme="majorBidi"/>
          <w:color w:val="FF0000"/>
        </w:rPr>
        <w:t xml:space="preserve">The research is described as a comparative cross-sectional study that included 100 patients chosen by convenient sampling technique according to a specific inclusion and exclusion with pleural effusion of different etiologies; 65 (65%) males and 35 (35%) females and they varied in age from 19 to79 years (mean; 51.85±15.5) admitted at chest department </w:t>
      </w:r>
      <w:proofErr w:type="spellStart"/>
      <w:r w:rsidRPr="00B01B2B">
        <w:rPr>
          <w:rFonts w:asciiTheme="majorBidi" w:hAnsiTheme="majorBidi" w:cstheme="majorBidi"/>
          <w:color w:val="FF0000"/>
        </w:rPr>
        <w:t>Benha</w:t>
      </w:r>
      <w:proofErr w:type="spellEnd"/>
      <w:r w:rsidRPr="00B01B2B">
        <w:rPr>
          <w:rFonts w:asciiTheme="majorBidi" w:hAnsiTheme="majorBidi" w:cstheme="majorBidi"/>
          <w:color w:val="FF0000"/>
        </w:rPr>
        <w:t xml:space="preserve"> University Hospital i</w:t>
      </w:r>
      <w:r w:rsidRPr="00B01B2B">
        <w:rPr>
          <w:rFonts w:asciiTheme="majorBidi" w:hAnsiTheme="majorBidi" w:cstheme="majorBidi"/>
          <w:color w:val="FF0000"/>
        </w:rPr>
        <w:t xml:space="preserve">n the period between March 2022 </w:t>
      </w:r>
      <w:r w:rsidRPr="00B01B2B">
        <w:rPr>
          <w:rFonts w:asciiTheme="majorBidi" w:hAnsiTheme="majorBidi" w:cstheme="majorBidi"/>
          <w:color w:val="FF0000"/>
        </w:rPr>
        <w:t>and May 2023.</w:t>
      </w:r>
    </w:p>
    <w:p w:rsidR="001C5201" w:rsidRPr="00AD4EA0" w:rsidRDefault="004868DE" w:rsidP="00AD4EA0">
      <w:p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Patients were</w:t>
      </w:r>
      <w:r w:rsidR="00B7679F" w:rsidRPr="00AD4EA0">
        <w:rPr>
          <w:rFonts w:asciiTheme="majorBidi" w:hAnsiTheme="majorBidi" w:cstheme="majorBidi"/>
          <w:color w:val="000000"/>
        </w:rPr>
        <w:t xml:space="preserve"> divided into 5 groups according to their final diagnosis:</w:t>
      </w:r>
      <w:bookmarkStart w:id="0" w:name="_GoBack"/>
      <w:bookmarkEnd w:id="0"/>
    </w:p>
    <w:p w:rsidR="00116003" w:rsidRPr="00AD4EA0" w:rsidRDefault="00116003" w:rsidP="00AD4EA0">
      <w:pPr>
        <w:numPr>
          <w:ilvl w:val="0"/>
          <w:numId w:val="17"/>
        </w:num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Group 1: This group consisted of 20 cases (20%) with tuberculous pleural effusion (TPE). There were 10 males and 10 females in this group, and the ages of the patients ranged from 30 years to 60 years.</w:t>
      </w:r>
    </w:p>
    <w:p w:rsidR="00116003" w:rsidRPr="00AD4EA0" w:rsidRDefault="00116003" w:rsidP="00AD4EA0">
      <w:pPr>
        <w:numPr>
          <w:ilvl w:val="0"/>
          <w:numId w:val="17"/>
        </w:num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Group 2: Group 2 included 20 cases (20%) with malignant pleural effusion (MPE). In this group, there were 11 males and 9 females, and the patients' ages ranged from 19 years to 73 years.</w:t>
      </w:r>
    </w:p>
    <w:p w:rsidR="00116003" w:rsidRPr="00AD4EA0" w:rsidRDefault="00116003" w:rsidP="00AD4EA0">
      <w:pPr>
        <w:numPr>
          <w:ilvl w:val="0"/>
          <w:numId w:val="17"/>
        </w:num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Group 3: This group comprised 20 cases (20%) with uncomplicated </w:t>
      </w:r>
      <w:proofErr w:type="spellStart"/>
      <w:r w:rsidRPr="00AD4EA0">
        <w:rPr>
          <w:rFonts w:asciiTheme="majorBidi" w:hAnsiTheme="majorBidi" w:cstheme="majorBidi"/>
          <w:color w:val="000000"/>
        </w:rPr>
        <w:t>parapneumonic</w:t>
      </w:r>
      <w:proofErr w:type="spellEnd"/>
      <w:r w:rsidRPr="00AD4EA0">
        <w:rPr>
          <w:rFonts w:asciiTheme="majorBidi" w:hAnsiTheme="majorBidi" w:cstheme="majorBidi"/>
          <w:color w:val="000000"/>
        </w:rPr>
        <w:t xml:space="preserve"> pleural effusion (UPPE). It had 13 males and 7 females, with patient ages ranging from 26 years to 75 years.</w:t>
      </w:r>
    </w:p>
    <w:p w:rsidR="00116003" w:rsidRPr="00AD4EA0" w:rsidRDefault="00116003" w:rsidP="00AD4EA0">
      <w:pPr>
        <w:numPr>
          <w:ilvl w:val="0"/>
          <w:numId w:val="17"/>
        </w:num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Group 4: Group 4 included 20 cases (20%) with complicated </w:t>
      </w:r>
      <w:proofErr w:type="spellStart"/>
      <w:r w:rsidRPr="00AD4EA0">
        <w:rPr>
          <w:rFonts w:asciiTheme="majorBidi" w:hAnsiTheme="majorBidi" w:cstheme="majorBidi"/>
          <w:color w:val="000000"/>
        </w:rPr>
        <w:t>parapneumonic</w:t>
      </w:r>
      <w:proofErr w:type="spellEnd"/>
      <w:r w:rsidRPr="00AD4EA0">
        <w:rPr>
          <w:rFonts w:asciiTheme="majorBidi" w:hAnsiTheme="majorBidi" w:cstheme="majorBidi"/>
          <w:color w:val="000000"/>
        </w:rPr>
        <w:t xml:space="preserve"> pleural effusion (CPPE). In this group, there were 17 males and 3 females, and the ages of the patients ranged from 23 years to 70 years.</w:t>
      </w:r>
    </w:p>
    <w:p w:rsidR="00116003" w:rsidRPr="00AD4EA0" w:rsidRDefault="00116003" w:rsidP="00AD4EA0">
      <w:pPr>
        <w:numPr>
          <w:ilvl w:val="0"/>
          <w:numId w:val="17"/>
        </w:numPr>
        <w:autoSpaceDE w:val="0"/>
        <w:autoSpaceDN w:val="0"/>
        <w:adjustRightInd w:val="0"/>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Group 5: The final group, Group 5, was made up of 20 cases (20%) with </w:t>
      </w:r>
      <w:proofErr w:type="spellStart"/>
      <w:r w:rsidRPr="00AD4EA0">
        <w:rPr>
          <w:rFonts w:asciiTheme="majorBidi" w:hAnsiTheme="majorBidi" w:cstheme="majorBidi"/>
          <w:color w:val="000000"/>
        </w:rPr>
        <w:t>transudative</w:t>
      </w:r>
      <w:proofErr w:type="spellEnd"/>
      <w:r w:rsidRPr="00AD4EA0">
        <w:rPr>
          <w:rFonts w:asciiTheme="majorBidi" w:hAnsiTheme="majorBidi" w:cstheme="majorBidi"/>
          <w:color w:val="000000"/>
        </w:rPr>
        <w:t xml:space="preserve"> pleural effusion. There were 14 males and 6 females in </w:t>
      </w:r>
      <w:r w:rsidRPr="00AD4EA0">
        <w:rPr>
          <w:rFonts w:asciiTheme="majorBidi" w:hAnsiTheme="majorBidi" w:cstheme="majorBidi"/>
          <w:color w:val="000000"/>
        </w:rPr>
        <w:lastRenderedPageBreak/>
        <w:t>this group, and the patients' ages ranged from 45 years to 79 years.</w:t>
      </w:r>
    </w:p>
    <w:p w:rsidR="00116003" w:rsidRPr="00AD4EA0" w:rsidRDefault="00116003" w:rsidP="00543DC0">
      <w:pPr>
        <w:autoSpaceDE w:val="0"/>
        <w:autoSpaceDN w:val="0"/>
        <w:adjustRightInd w:val="0"/>
        <w:spacing w:before="120" w:after="0" w:line="240" w:lineRule="auto"/>
        <w:ind w:firstLine="720"/>
        <w:jc w:val="both"/>
        <w:rPr>
          <w:rFonts w:asciiTheme="majorBidi" w:hAnsiTheme="majorBidi" w:cstheme="majorBidi"/>
        </w:rPr>
      </w:pPr>
      <w:r w:rsidRPr="00AD4EA0">
        <w:rPr>
          <w:rFonts w:asciiTheme="majorBidi" w:hAnsiTheme="majorBidi" w:cstheme="majorBidi"/>
        </w:rPr>
        <w:t xml:space="preserve">Infectious Pleural Effusion (IPE) included </w:t>
      </w:r>
      <w:proofErr w:type="spellStart"/>
      <w:r w:rsidRPr="00AD4EA0">
        <w:rPr>
          <w:rFonts w:asciiTheme="majorBidi" w:hAnsiTheme="majorBidi" w:cstheme="majorBidi"/>
        </w:rPr>
        <w:t>parapneumonic</w:t>
      </w:r>
      <w:proofErr w:type="spellEnd"/>
      <w:r w:rsidRPr="00AD4EA0">
        <w:rPr>
          <w:rFonts w:asciiTheme="majorBidi" w:hAnsiTheme="majorBidi" w:cstheme="majorBidi"/>
        </w:rPr>
        <w:t xml:space="preserve"> pleural effusion and tuberculous pleural effusion, while non-infectious Pleural Effusion (NIPE) included malignant pleural effusion and </w:t>
      </w:r>
      <w:proofErr w:type="spellStart"/>
      <w:r w:rsidRPr="00AD4EA0">
        <w:rPr>
          <w:rFonts w:asciiTheme="majorBidi" w:hAnsiTheme="majorBidi" w:cstheme="majorBidi"/>
        </w:rPr>
        <w:t>transudative</w:t>
      </w:r>
      <w:proofErr w:type="spellEnd"/>
      <w:r w:rsidRPr="00AD4EA0">
        <w:rPr>
          <w:rFonts w:asciiTheme="majorBidi" w:hAnsiTheme="majorBidi" w:cstheme="majorBidi"/>
        </w:rPr>
        <w:t xml:space="preserve"> pleural effusion. </w:t>
      </w:r>
    </w:p>
    <w:p w:rsidR="001C5201" w:rsidRPr="00AD4EA0" w:rsidRDefault="00B7679F" w:rsidP="00AD4EA0">
      <w:pPr>
        <w:autoSpaceDE w:val="0"/>
        <w:autoSpaceDN w:val="0"/>
        <w:adjustRightInd w:val="0"/>
        <w:spacing w:before="120" w:after="120" w:line="240" w:lineRule="auto"/>
        <w:jc w:val="both"/>
        <w:rPr>
          <w:rFonts w:asciiTheme="majorBidi" w:hAnsiTheme="majorBidi" w:cstheme="majorBidi"/>
          <w:b/>
          <w:bCs/>
          <w:color w:val="000000"/>
        </w:rPr>
      </w:pPr>
      <w:r w:rsidRPr="00AD4EA0">
        <w:rPr>
          <w:rFonts w:asciiTheme="majorBidi" w:hAnsiTheme="majorBidi" w:cstheme="majorBidi"/>
          <w:b/>
          <w:bCs/>
          <w:color w:val="000000"/>
        </w:rPr>
        <w:t>Inclusion criteria:</w:t>
      </w:r>
    </w:p>
    <w:p w:rsidR="001A2841" w:rsidRPr="00AD4EA0" w:rsidRDefault="00337A5A" w:rsidP="00543DC0">
      <w:pPr>
        <w:autoSpaceDE w:val="0"/>
        <w:autoSpaceDN w:val="0"/>
        <w:adjustRightInd w:val="0"/>
        <w:spacing w:before="120" w:after="120" w:line="240" w:lineRule="auto"/>
        <w:ind w:firstLine="720"/>
        <w:jc w:val="both"/>
        <w:rPr>
          <w:rFonts w:asciiTheme="majorBidi" w:hAnsiTheme="majorBidi" w:cstheme="majorBidi"/>
          <w:color w:val="131413"/>
        </w:rPr>
      </w:pPr>
      <w:r w:rsidRPr="00AD4EA0">
        <w:rPr>
          <w:rFonts w:asciiTheme="majorBidi" w:hAnsiTheme="majorBidi" w:cstheme="majorBidi"/>
        </w:rPr>
        <w:t>According to modified Light's criteria, an effusion was classified as an exudate if it met one or both of the following conditions:</w:t>
      </w:r>
      <w:r w:rsidR="001A2841" w:rsidRPr="00AD4EA0">
        <w:rPr>
          <w:rFonts w:asciiTheme="majorBidi" w:hAnsiTheme="majorBidi" w:cstheme="majorBidi"/>
        </w:rPr>
        <w:t xml:space="preserve"> e</w:t>
      </w:r>
      <w:r w:rsidRPr="00AD4EA0">
        <w:rPr>
          <w:rFonts w:asciiTheme="majorBidi" w:hAnsiTheme="majorBidi" w:cstheme="majorBidi"/>
        </w:rPr>
        <w:t>ffusion protein/serum prot</w:t>
      </w:r>
      <w:r w:rsidR="001A2841" w:rsidRPr="00AD4EA0">
        <w:rPr>
          <w:rFonts w:asciiTheme="majorBidi" w:hAnsiTheme="majorBidi" w:cstheme="majorBidi"/>
        </w:rPr>
        <w:t xml:space="preserve">ein ratio greater than 0.5, </w:t>
      </w:r>
      <w:r w:rsidRPr="00AD4EA0">
        <w:rPr>
          <w:rFonts w:asciiTheme="majorBidi" w:hAnsiTheme="majorBidi" w:cstheme="majorBidi"/>
        </w:rPr>
        <w:t>Effusion lactate dehydrogenase (LDH)/s</w:t>
      </w:r>
      <w:r w:rsidR="001A2841" w:rsidRPr="00AD4EA0">
        <w:rPr>
          <w:rFonts w:asciiTheme="majorBidi" w:hAnsiTheme="majorBidi" w:cstheme="majorBidi"/>
        </w:rPr>
        <w:t>er</w:t>
      </w:r>
      <w:r w:rsidR="00F41DAB">
        <w:rPr>
          <w:rFonts w:asciiTheme="majorBidi" w:hAnsiTheme="majorBidi" w:cstheme="majorBidi"/>
        </w:rPr>
        <w:t>um LDH ratio greater than</w:t>
      </w:r>
      <w:r w:rsidR="00F709FC">
        <w:rPr>
          <w:rFonts w:asciiTheme="majorBidi" w:hAnsiTheme="majorBidi" w:cstheme="majorBidi"/>
        </w:rPr>
        <w:t xml:space="preserve"> 0.6 [6</w:t>
      </w:r>
      <w:r w:rsidR="001A2841" w:rsidRPr="00AD4EA0">
        <w:rPr>
          <w:rFonts w:asciiTheme="majorBidi" w:hAnsiTheme="majorBidi" w:cstheme="majorBidi"/>
        </w:rPr>
        <w:t>].</w:t>
      </w:r>
    </w:p>
    <w:p w:rsidR="001C5201" w:rsidRPr="00AD4EA0" w:rsidRDefault="00337A5A" w:rsidP="00543DC0">
      <w:pPr>
        <w:autoSpaceDE w:val="0"/>
        <w:autoSpaceDN w:val="0"/>
        <w:adjustRightInd w:val="0"/>
        <w:spacing w:before="120" w:after="120" w:line="240" w:lineRule="auto"/>
        <w:ind w:firstLine="720"/>
        <w:jc w:val="both"/>
        <w:rPr>
          <w:rFonts w:asciiTheme="majorBidi" w:hAnsiTheme="majorBidi" w:cstheme="majorBidi"/>
          <w:color w:val="131413"/>
        </w:rPr>
      </w:pPr>
      <w:r w:rsidRPr="00AD4EA0">
        <w:rPr>
          <w:rFonts w:asciiTheme="majorBidi" w:hAnsiTheme="majorBidi" w:cstheme="majorBidi"/>
          <w:b/>
          <w:bCs/>
        </w:rPr>
        <w:t>The criteria for inclusion in Group 1,</w:t>
      </w:r>
      <w:r w:rsidRPr="00AD4EA0">
        <w:rPr>
          <w:rFonts w:asciiTheme="majorBidi" w:hAnsiTheme="majorBidi" w:cstheme="majorBidi"/>
        </w:rPr>
        <w:t xml:space="preserve"> which focuses on patients with tuberculous pleural effusions</w:t>
      </w:r>
      <w:r w:rsidR="00BB03EF" w:rsidRPr="00AD4EA0">
        <w:rPr>
          <w:rFonts w:asciiTheme="majorBidi" w:hAnsiTheme="majorBidi" w:cstheme="majorBidi"/>
        </w:rPr>
        <w:t xml:space="preserve"> (TPE):</w:t>
      </w:r>
      <w:r w:rsidRPr="00AD4EA0">
        <w:rPr>
          <w:rFonts w:asciiTheme="majorBidi" w:hAnsiTheme="majorBidi" w:cstheme="majorBidi"/>
          <w:color w:val="131413"/>
        </w:rPr>
        <w:t xml:space="preserve"> </w:t>
      </w:r>
      <w:r w:rsidR="00B7679F" w:rsidRPr="00AD4EA0">
        <w:rPr>
          <w:rFonts w:asciiTheme="majorBidi" w:hAnsiTheme="majorBidi" w:cstheme="majorBidi"/>
          <w:color w:val="131413"/>
        </w:rPr>
        <w:t>(I &amp;II Plus any of IV or V)</w:t>
      </w:r>
      <w:r w:rsidR="00B7679F" w:rsidRPr="00AD4EA0">
        <w:rPr>
          <w:rFonts w:asciiTheme="majorBidi" w:hAnsiTheme="majorBidi" w:cstheme="majorBidi"/>
        </w:rPr>
        <w:t xml:space="preserve"> </w:t>
      </w:r>
    </w:p>
    <w:p w:rsidR="00BB03EF" w:rsidRPr="00AD4EA0" w:rsidRDefault="00BB03EF" w:rsidP="00AD4EA0">
      <w:pPr>
        <w:pStyle w:val="Default"/>
        <w:numPr>
          <w:ilvl w:val="0"/>
          <w:numId w:val="1"/>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Classification of effusion as exudative based on the modified Light's criteria.</w:t>
      </w:r>
    </w:p>
    <w:p w:rsidR="001C5201" w:rsidRPr="00AD4EA0" w:rsidRDefault="00A4130F" w:rsidP="00AD4EA0">
      <w:pPr>
        <w:pStyle w:val="ListParagraph"/>
        <w:numPr>
          <w:ilvl w:val="0"/>
          <w:numId w:val="1"/>
        </w:numPr>
        <w:autoSpaceDE w:val="0"/>
        <w:autoSpaceDN w:val="0"/>
        <w:adjustRightInd w:val="0"/>
        <w:spacing w:after="0" w:line="240" w:lineRule="auto"/>
        <w:ind w:left="643"/>
        <w:jc w:val="both"/>
        <w:rPr>
          <w:rFonts w:asciiTheme="majorBidi" w:hAnsiTheme="majorBidi" w:cstheme="majorBidi"/>
          <w:color w:val="000000"/>
        </w:rPr>
      </w:pPr>
      <w:r>
        <w:rPr>
          <w:rFonts w:asciiTheme="majorBidi" w:hAnsiTheme="majorBidi" w:cstheme="majorBidi"/>
        </w:rPr>
        <w:t>ADA level</w:t>
      </w:r>
      <w:r w:rsidR="00BB03EF" w:rsidRPr="00AD4EA0">
        <w:rPr>
          <w:rFonts w:asciiTheme="majorBidi" w:hAnsiTheme="majorBidi" w:cstheme="majorBidi"/>
        </w:rPr>
        <w:t xml:space="preserve"> &gt; 40 U/l</w:t>
      </w:r>
      <w:r w:rsidR="00F709FC">
        <w:rPr>
          <w:rFonts w:asciiTheme="majorBidi" w:hAnsiTheme="majorBidi" w:cstheme="majorBidi"/>
          <w:color w:val="000000"/>
        </w:rPr>
        <w:t xml:space="preserve"> [7</w:t>
      </w:r>
      <w:r w:rsidR="001A2841" w:rsidRPr="00AD4EA0">
        <w:rPr>
          <w:rFonts w:asciiTheme="majorBidi" w:hAnsiTheme="majorBidi" w:cstheme="majorBidi"/>
          <w:color w:val="000000"/>
        </w:rPr>
        <w:t>]</w:t>
      </w:r>
      <w:r w:rsidR="00B7679F" w:rsidRPr="00AD4EA0">
        <w:rPr>
          <w:rFonts w:asciiTheme="majorBidi" w:hAnsiTheme="majorBidi" w:cstheme="majorBidi"/>
          <w:color w:val="000000"/>
        </w:rPr>
        <w:t>.</w:t>
      </w:r>
    </w:p>
    <w:p w:rsidR="00BB03EF" w:rsidRPr="00AD4EA0" w:rsidRDefault="00BB03EF" w:rsidP="00AD4EA0">
      <w:pPr>
        <w:pStyle w:val="ListParagraph"/>
        <w:numPr>
          <w:ilvl w:val="0"/>
          <w:numId w:val="1"/>
        </w:numPr>
        <w:autoSpaceDE w:val="0"/>
        <w:autoSpaceDN w:val="0"/>
        <w:adjustRightInd w:val="0"/>
        <w:spacing w:after="0" w:line="240" w:lineRule="auto"/>
        <w:ind w:left="643"/>
        <w:jc w:val="both"/>
        <w:rPr>
          <w:rFonts w:asciiTheme="majorBidi" w:hAnsiTheme="majorBidi" w:cstheme="majorBidi"/>
          <w:color w:val="000000"/>
        </w:rPr>
      </w:pPr>
      <w:r w:rsidRPr="00AD4EA0">
        <w:rPr>
          <w:rFonts w:asciiTheme="majorBidi" w:hAnsiTheme="majorBidi" w:cstheme="majorBidi"/>
          <w:color w:val="000000"/>
        </w:rPr>
        <w:t>T</w:t>
      </w:r>
      <w:r w:rsidR="00B7679F" w:rsidRPr="00AD4EA0">
        <w:rPr>
          <w:rFonts w:asciiTheme="majorBidi" w:hAnsiTheme="majorBidi" w:cstheme="majorBidi"/>
          <w:color w:val="000000"/>
        </w:rPr>
        <w:t xml:space="preserve">uberculin skin test </w:t>
      </w:r>
      <w:r w:rsidRPr="00AD4EA0">
        <w:rPr>
          <w:rFonts w:asciiTheme="majorBidi" w:hAnsiTheme="majorBidi" w:cstheme="majorBidi"/>
          <w:color w:val="000000"/>
        </w:rPr>
        <w:t xml:space="preserve">proved to be positive </w:t>
      </w:r>
      <w:r w:rsidR="00F709FC">
        <w:rPr>
          <w:rFonts w:asciiTheme="majorBidi" w:hAnsiTheme="majorBidi" w:cstheme="majorBidi"/>
          <w:color w:val="000000"/>
        </w:rPr>
        <w:t>[8</w:t>
      </w:r>
      <w:r w:rsidR="001A2841" w:rsidRPr="00AD4EA0">
        <w:rPr>
          <w:rFonts w:asciiTheme="majorBidi" w:hAnsiTheme="majorBidi" w:cstheme="majorBidi"/>
          <w:color w:val="000000"/>
        </w:rPr>
        <w:t>]</w:t>
      </w:r>
      <w:r w:rsidR="00B7679F" w:rsidRPr="00AD4EA0">
        <w:rPr>
          <w:rFonts w:asciiTheme="majorBidi" w:hAnsiTheme="majorBidi" w:cstheme="majorBidi"/>
          <w:color w:val="000000"/>
        </w:rPr>
        <w:t>.</w:t>
      </w:r>
    </w:p>
    <w:p w:rsidR="00BB03EF" w:rsidRPr="00AD4EA0" w:rsidRDefault="00BB03EF" w:rsidP="00AD4EA0">
      <w:pPr>
        <w:pStyle w:val="ListParagraph"/>
        <w:numPr>
          <w:ilvl w:val="0"/>
          <w:numId w:val="1"/>
        </w:numPr>
        <w:autoSpaceDE w:val="0"/>
        <w:autoSpaceDN w:val="0"/>
        <w:adjustRightInd w:val="0"/>
        <w:spacing w:after="0" w:line="240" w:lineRule="auto"/>
        <w:ind w:left="643"/>
        <w:jc w:val="both"/>
        <w:rPr>
          <w:rFonts w:asciiTheme="majorBidi" w:hAnsiTheme="majorBidi" w:cstheme="majorBidi"/>
          <w:color w:val="000000"/>
        </w:rPr>
      </w:pPr>
      <w:r w:rsidRPr="00AD4EA0">
        <w:rPr>
          <w:rFonts w:asciiTheme="majorBidi" w:hAnsiTheme="majorBidi" w:cstheme="majorBidi"/>
        </w:rPr>
        <w:t>The presence of acid-fast bacilli in t</w:t>
      </w:r>
      <w:r w:rsidR="00A4130F">
        <w:rPr>
          <w:rFonts w:asciiTheme="majorBidi" w:hAnsiTheme="majorBidi" w:cstheme="majorBidi"/>
        </w:rPr>
        <w:t>he pleural effusion examination</w:t>
      </w:r>
    </w:p>
    <w:p w:rsidR="001C5201" w:rsidRPr="00AD4EA0" w:rsidRDefault="00BB03EF" w:rsidP="00AD4EA0">
      <w:pPr>
        <w:pStyle w:val="ListParagraph"/>
        <w:numPr>
          <w:ilvl w:val="0"/>
          <w:numId w:val="1"/>
        </w:numPr>
        <w:autoSpaceDE w:val="0"/>
        <w:autoSpaceDN w:val="0"/>
        <w:adjustRightInd w:val="0"/>
        <w:spacing w:after="0" w:line="240" w:lineRule="auto"/>
        <w:ind w:left="643"/>
        <w:jc w:val="both"/>
        <w:rPr>
          <w:rFonts w:asciiTheme="majorBidi" w:hAnsiTheme="majorBidi" w:cstheme="majorBidi"/>
          <w:color w:val="000000"/>
        </w:rPr>
      </w:pPr>
      <w:r w:rsidRPr="00AD4EA0">
        <w:rPr>
          <w:rFonts w:asciiTheme="majorBidi" w:hAnsiTheme="majorBidi" w:cstheme="majorBidi"/>
        </w:rPr>
        <w:t xml:space="preserve">The presence of </w:t>
      </w:r>
      <w:proofErr w:type="spellStart"/>
      <w:r w:rsidRPr="00AD4EA0">
        <w:rPr>
          <w:rFonts w:asciiTheme="majorBidi" w:hAnsiTheme="majorBidi" w:cstheme="majorBidi"/>
        </w:rPr>
        <w:t>caseating</w:t>
      </w:r>
      <w:proofErr w:type="spellEnd"/>
      <w:r w:rsidRPr="00AD4EA0">
        <w:rPr>
          <w:rFonts w:asciiTheme="majorBidi" w:hAnsiTheme="majorBidi" w:cstheme="majorBidi"/>
        </w:rPr>
        <w:t xml:space="preserve"> granulomas in a biopsy obtained through </w:t>
      </w:r>
      <w:proofErr w:type="spellStart"/>
      <w:r w:rsidRPr="00AD4EA0">
        <w:rPr>
          <w:rFonts w:asciiTheme="majorBidi" w:hAnsiTheme="majorBidi" w:cstheme="majorBidi"/>
        </w:rPr>
        <w:t>thoracoscopy</w:t>
      </w:r>
      <w:proofErr w:type="spellEnd"/>
      <w:r w:rsidRPr="00AD4EA0">
        <w:rPr>
          <w:rFonts w:asciiTheme="majorBidi" w:hAnsiTheme="majorBidi" w:cstheme="majorBidi"/>
        </w:rPr>
        <w:t xml:space="preserve"> or Abram's needle pleural biopsy</w:t>
      </w:r>
      <w:r w:rsidRPr="00AD4EA0">
        <w:rPr>
          <w:rFonts w:asciiTheme="majorBidi" w:hAnsiTheme="majorBidi" w:cstheme="majorBidi"/>
          <w:color w:val="000000"/>
        </w:rPr>
        <w:t xml:space="preserve"> </w:t>
      </w:r>
      <w:r w:rsidR="00F709FC">
        <w:rPr>
          <w:rFonts w:asciiTheme="majorBidi" w:hAnsiTheme="majorBidi" w:cstheme="majorBidi"/>
          <w:color w:val="000000"/>
        </w:rPr>
        <w:t>[9</w:t>
      </w:r>
      <w:r w:rsidR="001A2841" w:rsidRPr="00AD4EA0">
        <w:rPr>
          <w:rFonts w:asciiTheme="majorBidi" w:hAnsiTheme="majorBidi" w:cstheme="majorBidi"/>
          <w:color w:val="000000"/>
        </w:rPr>
        <w:t>]</w:t>
      </w:r>
      <w:r w:rsidR="00B7679F" w:rsidRPr="00AD4EA0">
        <w:rPr>
          <w:rFonts w:asciiTheme="majorBidi" w:hAnsiTheme="majorBidi" w:cstheme="majorBidi"/>
          <w:color w:val="000000"/>
        </w:rPr>
        <w:t>.</w:t>
      </w:r>
      <w:r w:rsidR="00B7679F" w:rsidRPr="00AD4EA0">
        <w:rPr>
          <w:rFonts w:asciiTheme="majorBidi" w:hAnsiTheme="majorBidi" w:cstheme="majorBidi"/>
        </w:rPr>
        <w:t xml:space="preserve"> </w:t>
      </w:r>
    </w:p>
    <w:p w:rsidR="00BB03EF" w:rsidRPr="00AD4EA0" w:rsidRDefault="00BB03EF" w:rsidP="00543DC0">
      <w:pPr>
        <w:pStyle w:val="Default"/>
        <w:spacing w:before="120" w:after="120"/>
        <w:ind w:firstLine="720"/>
        <w:jc w:val="both"/>
        <w:rPr>
          <w:rFonts w:asciiTheme="majorBidi" w:hAnsiTheme="majorBidi" w:cstheme="majorBidi"/>
          <w:sz w:val="22"/>
          <w:szCs w:val="22"/>
        </w:rPr>
      </w:pPr>
      <w:r w:rsidRPr="00AD4EA0">
        <w:rPr>
          <w:rFonts w:asciiTheme="majorBidi" w:hAnsiTheme="majorBidi" w:cstheme="majorBidi"/>
          <w:b/>
          <w:bCs/>
          <w:sz w:val="22"/>
          <w:szCs w:val="22"/>
        </w:rPr>
        <w:t>The inclusion criteria for Group 2,</w:t>
      </w:r>
      <w:r w:rsidRPr="00AD4EA0">
        <w:rPr>
          <w:rFonts w:asciiTheme="majorBidi" w:hAnsiTheme="majorBidi" w:cstheme="majorBidi"/>
          <w:sz w:val="22"/>
          <w:szCs w:val="22"/>
        </w:rPr>
        <w:t xml:space="preserve"> which focuses on patients with malignant pleural effusion (MPE) include: </w:t>
      </w:r>
      <w:r w:rsidR="00F709FC">
        <w:rPr>
          <w:rFonts w:asciiTheme="majorBidi" w:hAnsiTheme="majorBidi" w:cstheme="majorBidi"/>
          <w:sz w:val="22"/>
          <w:szCs w:val="22"/>
        </w:rPr>
        <w:t>[10</w:t>
      </w:r>
      <w:r w:rsidR="001A2841" w:rsidRPr="00AD4EA0">
        <w:rPr>
          <w:rFonts w:asciiTheme="majorBidi" w:hAnsiTheme="majorBidi" w:cstheme="majorBidi"/>
          <w:sz w:val="22"/>
          <w:szCs w:val="22"/>
        </w:rPr>
        <w:t>]</w:t>
      </w:r>
    </w:p>
    <w:p w:rsidR="00F04EC3" w:rsidRPr="00AD4EA0" w:rsidRDefault="00F04EC3" w:rsidP="00543DC0">
      <w:pPr>
        <w:pStyle w:val="Default"/>
        <w:numPr>
          <w:ilvl w:val="1"/>
          <w:numId w:val="20"/>
        </w:numPr>
        <w:spacing w:before="120" w:after="120"/>
        <w:ind w:left="792"/>
        <w:jc w:val="both"/>
        <w:rPr>
          <w:rFonts w:asciiTheme="majorBidi" w:hAnsiTheme="majorBidi" w:cstheme="majorBidi"/>
          <w:sz w:val="22"/>
          <w:szCs w:val="22"/>
        </w:rPr>
      </w:pPr>
      <w:r w:rsidRPr="00AD4EA0">
        <w:rPr>
          <w:rFonts w:asciiTheme="majorBidi" w:hAnsiTheme="majorBidi" w:cstheme="majorBidi"/>
          <w:sz w:val="22"/>
          <w:szCs w:val="22"/>
        </w:rPr>
        <w:t>symptomatic pleural effu</w:t>
      </w:r>
      <w:r w:rsidR="00A508FE">
        <w:rPr>
          <w:rFonts w:asciiTheme="majorBidi" w:hAnsiTheme="majorBidi" w:cstheme="majorBidi"/>
          <w:sz w:val="22"/>
          <w:szCs w:val="22"/>
        </w:rPr>
        <w:t>sion that is</w:t>
      </w:r>
      <w:r w:rsidRPr="00AD4EA0">
        <w:rPr>
          <w:rFonts w:asciiTheme="majorBidi" w:hAnsiTheme="majorBidi" w:cstheme="majorBidi"/>
          <w:sz w:val="22"/>
          <w:szCs w:val="22"/>
        </w:rPr>
        <w:t xml:space="preserve"> rap</w:t>
      </w:r>
      <w:r w:rsidR="00A508FE">
        <w:rPr>
          <w:rFonts w:asciiTheme="majorBidi" w:hAnsiTheme="majorBidi" w:cstheme="majorBidi"/>
          <w:sz w:val="22"/>
          <w:szCs w:val="22"/>
        </w:rPr>
        <w:t>idly accumulating. The effusion</w:t>
      </w:r>
      <w:r w:rsidRPr="00AD4EA0">
        <w:rPr>
          <w:rFonts w:asciiTheme="majorBidi" w:hAnsiTheme="majorBidi" w:cstheme="majorBidi"/>
          <w:sz w:val="22"/>
          <w:szCs w:val="22"/>
        </w:rPr>
        <w:t xml:space="preserve"> should be of a significant volume, typically occupying more than half of a </w:t>
      </w:r>
      <w:proofErr w:type="spellStart"/>
      <w:r w:rsidRPr="00AD4EA0">
        <w:rPr>
          <w:rFonts w:asciiTheme="majorBidi" w:hAnsiTheme="majorBidi" w:cstheme="majorBidi"/>
          <w:sz w:val="22"/>
          <w:szCs w:val="22"/>
        </w:rPr>
        <w:t>hemithorax</w:t>
      </w:r>
      <w:proofErr w:type="spellEnd"/>
      <w:r w:rsidRPr="00AD4EA0">
        <w:rPr>
          <w:rFonts w:asciiTheme="majorBidi" w:hAnsiTheme="majorBidi" w:cstheme="majorBidi"/>
          <w:sz w:val="22"/>
          <w:szCs w:val="22"/>
        </w:rPr>
        <w:t>.</w:t>
      </w:r>
    </w:p>
    <w:p w:rsidR="00CD57C6" w:rsidRPr="00AD4EA0" w:rsidRDefault="00F04EC3" w:rsidP="00A508FE">
      <w:pPr>
        <w:pStyle w:val="Default"/>
        <w:numPr>
          <w:ilvl w:val="1"/>
          <w:numId w:val="20"/>
        </w:numPr>
        <w:spacing w:before="120" w:after="120"/>
        <w:ind w:left="792"/>
        <w:jc w:val="both"/>
        <w:rPr>
          <w:rFonts w:asciiTheme="majorBidi" w:hAnsiTheme="majorBidi" w:cstheme="majorBidi"/>
          <w:sz w:val="22"/>
          <w:szCs w:val="22"/>
        </w:rPr>
      </w:pPr>
      <w:r w:rsidRPr="00AD4EA0">
        <w:rPr>
          <w:rFonts w:asciiTheme="majorBidi" w:hAnsiTheme="majorBidi" w:cstheme="majorBidi"/>
          <w:sz w:val="22"/>
          <w:szCs w:val="22"/>
        </w:rPr>
        <w:t xml:space="preserve">The pleural effusion's chemical analysis should confirm that it is exudative in nature. </w:t>
      </w:r>
    </w:p>
    <w:p w:rsidR="00F04EC3" w:rsidRPr="00AD4EA0" w:rsidRDefault="00F04EC3" w:rsidP="00543DC0">
      <w:pPr>
        <w:pStyle w:val="Default"/>
        <w:numPr>
          <w:ilvl w:val="1"/>
          <w:numId w:val="20"/>
        </w:numPr>
        <w:spacing w:before="120" w:after="120"/>
        <w:ind w:left="792"/>
        <w:jc w:val="both"/>
        <w:rPr>
          <w:rFonts w:asciiTheme="majorBidi" w:hAnsiTheme="majorBidi" w:cstheme="majorBidi"/>
          <w:sz w:val="22"/>
          <w:szCs w:val="22"/>
        </w:rPr>
      </w:pPr>
      <w:r w:rsidRPr="00AD4EA0">
        <w:rPr>
          <w:rFonts w:asciiTheme="majorBidi" w:hAnsiTheme="majorBidi" w:cstheme="majorBidi"/>
          <w:sz w:val="22"/>
          <w:szCs w:val="22"/>
        </w:rPr>
        <w:t xml:space="preserve">Cytological examination of the pleural fluid may reveal the presence of </w:t>
      </w:r>
      <w:proofErr w:type="spellStart"/>
      <w:r w:rsidRPr="00AD4EA0">
        <w:rPr>
          <w:rFonts w:asciiTheme="majorBidi" w:hAnsiTheme="majorBidi" w:cstheme="majorBidi"/>
          <w:sz w:val="22"/>
          <w:szCs w:val="22"/>
        </w:rPr>
        <w:t>exfoliative</w:t>
      </w:r>
      <w:proofErr w:type="spellEnd"/>
      <w:r w:rsidRPr="00AD4EA0">
        <w:rPr>
          <w:rFonts w:asciiTheme="majorBidi" w:hAnsiTheme="majorBidi" w:cstheme="majorBidi"/>
          <w:sz w:val="22"/>
          <w:szCs w:val="22"/>
        </w:rPr>
        <w:t xml:space="preserve"> malignant cells and should be confirmed by histopathological examination of biopsies obtained through various biopsy methods. These biopsies help in identifying the presence of cancerous cells and the primary malignancy.</w:t>
      </w:r>
      <w:r w:rsidR="00CD57C6" w:rsidRPr="00AD4EA0">
        <w:rPr>
          <w:rFonts w:asciiTheme="majorBidi" w:hAnsiTheme="majorBidi" w:cstheme="majorBidi"/>
          <w:sz w:val="22"/>
          <w:szCs w:val="22"/>
        </w:rPr>
        <w:t xml:space="preserve"> The requirement for both cytological examination and histopathological examination of biopsies helps establish a robust diagnosis of malignancy in the pleural effusion.</w:t>
      </w:r>
    </w:p>
    <w:p w:rsidR="00F05982" w:rsidRPr="00AD4EA0" w:rsidRDefault="00F05982" w:rsidP="00543DC0">
      <w:pPr>
        <w:pStyle w:val="Default"/>
        <w:spacing w:before="120" w:after="120"/>
        <w:ind w:firstLine="720"/>
        <w:jc w:val="both"/>
        <w:rPr>
          <w:rFonts w:asciiTheme="majorBidi" w:hAnsiTheme="majorBidi" w:cstheme="majorBidi"/>
          <w:sz w:val="22"/>
          <w:szCs w:val="22"/>
        </w:rPr>
      </w:pPr>
      <w:r w:rsidRPr="00AD4EA0">
        <w:rPr>
          <w:rFonts w:asciiTheme="majorBidi" w:hAnsiTheme="majorBidi" w:cstheme="majorBidi"/>
          <w:b/>
          <w:bCs/>
          <w:sz w:val="22"/>
          <w:szCs w:val="22"/>
        </w:rPr>
        <w:t>The inclusion criteria for Group 3</w:t>
      </w:r>
      <w:r w:rsidRPr="00AD4EA0">
        <w:rPr>
          <w:rFonts w:asciiTheme="majorBidi" w:hAnsiTheme="majorBidi" w:cstheme="majorBidi"/>
          <w:sz w:val="22"/>
          <w:szCs w:val="22"/>
        </w:rPr>
        <w:t xml:space="preserve">, which focuses on patients with uncomplicated </w:t>
      </w:r>
      <w:proofErr w:type="spellStart"/>
      <w:r w:rsidRPr="00AD4EA0">
        <w:rPr>
          <w:rFonts w:asciiTheme="majorBidi" w:hAnsiTheme="majorBidi" w:cstheme="majorBidi"/>
          <w:sz w:val="22"/>
          <w:szCs w:val="22"/>
        </w:rPr>
        <w:t>parapneumonic</w:t>
      </w:r>
      <w:proofErr w:type="spellEnd"/>
      <w:r w:rsidRPr="00AD4EA0">
        <w:rPr>
          <w:rFonts w:asciiTheme="majorBidi" w:hAnsiTheme="majorBidi" w:cstheme="majorBidi"/>
          <w:sz w:val="22"/>
          <w:szCs w:val="22"/>
        </w:rPr>
        <w:t xml:space="preserve"> effusion (UPPE) </w:t>
      </w:r>
      <w:r w:rsidR="00F709FC">
        <w:rPr>
          <w:rFonts w:asciiTheme="majorBidi" w:hAnsiTheme="majorBidi" w:cstheme="majorBidi"/>
          <w:sz w:val="22"/>
          <w:szCs w:val="22"/>
        </w:rPr>
        <w:t>[11</w:t>
      </w:r>
      <w:r w:rsidR="001A2841" w:rsidRPr="00AD4EA0">
        <w:rPr>
          <w:rFonts w:asciiTheme="majorBidi" w:hAnsiTheme="majorBidi" w:cstheme="majorBidi"/>
          <w:sz w:val="22"/>
          <w:szCs w:val="22"/>
        </w:rPr>
        <w:t>]</w:t>
      </w:r>
      <w:r w:rsidRPr="00AD4EA0">
        <w:rPr>
          <w:rFonts w:asciiTheme="majorBidi" w:hAnsiTheme="majorBidi" w:cstheme="majorBidi"/>
          <w:sz w:val="22"/>
          <w:szCs w:val="22"/>
        </w:rPr>
        <w:t>:</w:t>
      </w:r>
    </w:p>
    <w:p w:rsidR="00A508FE" w:rsidRDefault="00A508FE" w:rsidP="00AD4EA0">
      <w:pPr>
        <w:pStyle w:val="Default"/>
        <w:numPr>
          <w:ilvl w:val="0"/>
          <w:numId w:val="21"/>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Exudative Pleural Effusion Identified based on the modified Light's criteria.</w:t>
      </w:r>
    </w:p>
    <w:p w:rsidR="00F05982" w:rsidRPr="00AD4EA0" w:rsidRDefault="00F05982" w:rsidP="00AD4EA0">
      <w:pPr>
        <w:pStyle w:val="Default"/>
        <w:numPr>
          <w:ilvl w:val="0"/>
          <w:numId w:val="21"/>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Negative Results on Gram Stain and Culture:</w:t>
      </w:r>
    </w:p>
    <w:p w:rsidR="00F05982" w:rsidRPr="00AD4EA0" w:rsidRDefault="00F05982" w:rsidP="00AD4EA0">
      <w:pPr>
        <w:pStyle w:val="Default"/>
        <w:numPr>
          <w:ilvl w:val="0"/>
          <w:numId w:val="21"/>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pH Higher Than 7.2:</w:t>
      </w:r>
    </w:p>
    <w:p w:rsidR="00F05982" w:rsidRPr="00AD4EA0" w:rsidRDefault="007118B8" w:rsidP="00AD4EA0">
      <w:pPr>
        <w:pStyle w:val="Default"/>
        <w:numPr>
          <w:ilvl w:val="0"/>
          <w:numId w:val="21"/>
        </w:numPr>
        <w:spacing w:before="120" w:after="120"/>
        <w:jc w:val="both"/>
        <w:rPr>
          <w:rFonts w:asciiTheme="majorBidi" w:hAnsiTheme="majorBidi" w:cstheme="majorBidi"/>
          <w:sz w:val="22"/>
          <w:szCs w:val="22"/>
        </w:rPr>
      </w:pPr>
      <w:r>
        <w:rPr>
          <w:rFonts w:asciiTheme="majorBidi" w:hAnsiTheme="majorBidi" w:cstheme="majorBidi"/>
          <w:sz w:val="22"/>
          <w:szCs w:val="22"/>
        </w:rPr>
        <w:lastRenderedPageBreak/>
        <w:t xml:space="preserve">Glucose </w:t>
      </w:r>
      <w:r>
        <w:rPr>
          <w:rFonts w:ascii="Calibri" w:hAnsi="Calibri" w:cs="Calibri"/>
          <w:sz w:val="22"/>
          <w:szCs w:val="22"/>
        </w:rPr>
        <w:t>&gt;</w:t>
      </w:r>
      <w:r w:rsidR="00F05982" w:rsidRPr="00AD4EA0">
        <w:rPr>
          <w:rFonts w:asciiTheme="majorBidi" w:hAnsiTheme="majorBidi" w:cstheme="majorBidi"/>
          <w:sz w:val="22"/>
          <w:szCs w:val="22"/>
        </w:rPr>
        <w:t xml:space="preserve"> 40 mg/dl:</w:t>
      </w:r>
    </w:p>
    <w:p w:rsidR="00F05982" w:rsidRPr="00AD4EA0" w:rsidRDefault="007118B8" w:rsidP="00AD4EA0">
      <w:pPr>
        <w:pStyle w:val="Default"/>
        <w:numPr>
          <w:ilvl w:val="0"/>
          <w:numId w:val="21"/>
        </w:numPr>
        <w:spacing w:before="120" w:after="120"/>
        <w:jc w:val="both"/>
        <w:rPr>
          <w:rFonts w:asciiTheme="majorBidi" w:hAnsiTheme="majorBidi" w:cstheme="majorBidi"/>
          <w:sz w:val="22"/>
          <w:szCs w:val="22"/>
        </w:rPr>
      </w:pPr>
      <w:r>
        <w:rPr>
          <w:rFonts w:asciiTheme="majorBidi" w:hAnsiTheme="majorBidi" w:cstheme="majorBidi"/>
          <w:sz w:val="22"/>
          <w:szCs w:val="22"/>
        </w:rPr>
        <w:t xml:space="preserve">LDH </w:t>
      </w:r>
      <w:r>
        <w:rPr>
          <w:rFonts w:ascii="Calibri" w:hAnsi="Calibri" w:cs="Calibri"/>
          <w:sz w:val="22"/>
          <w:szCs w:val="22"/>
        </w:rPr>
        <w:t>&lt;</w:t>
      </w:r>
      <w:r w:rsidR="00F05982" w:rsidRPr="00AD4EA0">
        <w:rPr>
          <w:rFonts w:asciiTheme="majorBidi" w:hAnsiTheme="majorBidi" w:cstheme="majorBidi"/>
          <w:sz w:val="22"/>
          <w:szCs w:val="22"/>
        </w:rPr>
        <w:t xml:space="preserve"> 1,000 IU/l:</w:t>
      </w:r>
    </w:p>
    <w:p w:rsidR="00F05982" w:rsidRPr="00AD4EA0" w:rsidRDefault="00F05982" w:rsidP="00AD4EA0">
      <w:pPr>
        <w:pStyle w:val="Default"/>
        <w:spacing w:before="120" w:after="120"/>
        <w:ind w:firstLine="539"/>
        <w:jc w:val="both"/>
        <w:rPr>
          <w:rFonts w:asciiTheme="majorBidi" w:hAnsiTheme="majorBidi" w:cstheme="majorBidi"/>
          <w:sz w:val="22"/>
          <w:szCs w:val="22"/>
        </w:rPr>
      </w:pPr>
      <w:r w:rsidRPr="00AD4EA0">
        <w:rPr>
          <w:rFonts w:asciiTheme="majorBidi" w:hAnsiTheme="majorBidi" w:cstheme="majorBidi"/>
          <w:b/>
          <w:bCs/>
          <w:sz w:val="22"/>
          <w:szCs w:val="22"/>
        </w:rPr>
        <w:t>The inclusion criteria for Group 4,</w:t>
      </w:r>
      <w:r w:rsidRPr="00AD4EA0">
        <w:rPr>
          <w:rFonts w:asciiTheme="majorBidi" w:hAnsiTheme="majorBidi" w:cstheme="majorBidi"/>
          <w:sz w:val="22"/>
          <w:szCs w:val="22"/>
        </w:rPr>
        <w:t xml:space="preserve"> which focuses on patients with complicated </w:t>
      </w:r>
      <w:proofErr w:type="spellStart"/>
      <w:r w:rsidRPr="00AD4EA0">
        <w:rPr>
          <w:rFonts w:asciiTheme="majorBidi" w:hAnsiTheme="majorBidi" w:cstheme="majorBidi"/>
          <w:sz w:val="22"/>
          <w:szCs w:val="22"/>
        </w:rPr>
        <w:t>parapneu</w:t>
      </w:r>
      <w:r w:rsidR="001A2841" w:rsidRPr="00AD4EA0">
        <w:rPr>
          <w:rFonts w:asciiTheme="majorBidi" w:hAnsiTheme="majorBidi" w:cstheme="majorBidi"/>
          <w:sz w:val="22"/>
          <w:szCs w:val="22"/>
        </w:rPr>
        <w:t>monic</w:t>
      </w:r>
      <w:proofErr w:type="spellEnd"/>
      <w:r w:rsidR="001A2841" w:rsidRPr="00AD4EA0">
        <w:rPr>
          <w:rFonts w:asciiTheme="majorBidi" w:hAnsiTheme="majorBidi" w:cstheme="majorBidi"/>
          <w:sz w:val="22"/>
          <w:szCs w:val="22"/>
        </w:rPr>
        <w:t xml:space="preserve"> effusion (empyema) (CPPE)</w:t>
      </w:r>
      <w:r w:rsidRPr="00AD4EA0">
        <w:rPr>
          <w:rFonts w:asciiTheme="majorBidi" w:hAnsiTheme="majorBidi" w:cstheme="majorBidi"/>
          <w:sz w:val="22"/>
          <w:szCs w:val="22"/>
        </w:rPr>
        <w:t xml:space="preserve">: </w:t>
      </w:r>
      <w:r w:rsidR="00F709FC">
        <w:rPr>
          <w:rFonts w:asciiTheme="majorBidi" w:hAnsiTheme="majorBidi" w:cstheme="majorBidi"/>
          <w:sz w:val="22"/>
          <w:szCs w:val="22"/>
        </w:rPr>
        <w:t>[12</w:t>
      </w:r>
      <w:r w:rsidR="001A2841" w:rsidRPr="00AD4EA0">
        <w:rPr>
          <w:rFonts w:asciiTheme="majorBidi" w:hAnsiTheme="majorBidi" w:cstheme="majorBidi"/>
          <w:sz w:val="22"/>
          <w:szCs w:val="22"/>
        </w:rPr>
        <w:t>]</w:t>
      </w:r>
    </w:p>
    <w:p w:rsidR="009D6CE7" w:rsidRDefault="00B7679F" w:rsidP="009D6CE7">
      <w:pPr>
        <w:pStyle w:val="Default"/>
        <w:numPr>
          <w:ilvl w:val="0"/>
          <w:numId w:val="22"/>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 xml:space="preserve"> </w:t>
      </w:r>
      <w:r w:rsidR="00F05982" w:rsidRPr="00AD4EA0">
        <w:rPr>
          <w:rFonts w:asciiTheme="majorBidi" w:hAnsiTheme="majorBidi" w:cstheme="majorBidi"/>
          <w:sz w:val="22"/>
          <w:szCs w:val="22"/>
        </w:rPr>
        <w:t>Exudative Pleural Effusion Identified based on the modified Light's criteria.</w:t>
      </w:r>
    </w:p>
    <w:p w:rsidR="009D6CE7" w:rsidRDefault="00F05982" w:rsidP="009D6CE7">
      <w:pPr>
        <w:pStyle w:val="Default"/>
        <w:numPr>
          <w:ilvl w:val="0"/>
          <w:numId w:val="22"/>
        </w:numPr>
        <w:spacing w:before="120" w:after="120"/>
        <w:jc w:val="both"/>
        <w:rPr>
          <w:rFonts w:asciiTheme="majorBidi" w:hAnsiTheme="majorBidi" w:cstheme="majorBidi"/>
          <w:sz w:val="22"/>
          <w:szCs w:val="22"/>
        </w:rPr>
      </w:pPr>
      <w:r w:rsidRPr="009D6CE7">
        <w:rPr>
          <w:rFonts w:asciiTheme="majorBidi" w:hAnsiTheme="majorBidi" w:cstheme="majorBidi"/>
          <w:sz w:val="22"/>
          <w:szCs w:val="22"/>
        </w:rPr>
        <w:t>Pleural fluid pH &lt; 7.20</w:t>
      </w:r>
    </w:p>
    <w:p w:rsidR="009D6CE7" w:rsidRDefault="00F05982" w:rsidP="009D6CE7">
      <w:pPr>
        <w:pStyle w:val="Default"/>
        <w:numPr>
          <w:ilvl w:val="0"/>
          <w:numId w:val="22"/>
        </w:numPr>
        <w:spacing w:before="120" w:after="120"/>
        <w:jc w:val="both"/>
        <w:rPr>
          <w:rFonts w:asciiTheme="majorBidi" w:hAnsiTheme="majorBidi" w:cstheme="majorBidi"/>
          <w:sz w:val="22"/>
          <w:szCs w:val="22"/>
        </w:rPr>
      </w:pPr>
      <w:r w:rsidRPr="009D6CE7">
        <w:rPr>
          <w:rFonts w:asciiTheme="majorBidi" w:hAnsiTheme="majorBidi" w:cstheme="majorBidi"/>
          <w:sz w:val="22"/>
          <w:szCs w:val="22"/>
        </w:rPr>
        <w:t>The glucose concentration in the pleural fluid should be less than 40 mg/</w:t>
      </w:r>
      <w:proofErr w:type="spellStart"/>
      <w:r w:rsidRPr="009D6CE7">
        <w:rPr>
          <w:rFonts w:asciiTheme="majorBidi" w:hAnsiTheme="majorBidi" w:cstheme="majorBidi"/>
          <w:sz w:val="22"/>
          <w:szCs w:val="22"/>
        </w:rPr>
        <w:t>dL</w:t>
      </w:r>
      <w:proofErr w:type="spellEnd"/>
      <w:r w:rsidRPr="009D6CE7">
        <w:rPr>
          <w:rFonts w:asciiTheme="majorBidi" w:hAnsiTheme="majorBidi" w:cstheme="majorBidi"/>
          <w:sz w:val="22"/>
          <w:szCs w:val="22"/>
        </w:rPr>
        <w:t>.</w:t>
      </w:r>
    </w:p>
    <w:p w:rsidR="009D6CE7" w:rsidRDefault="00F05982" w:rsidP="009D6CE7">
      <w:pPr>
        <w:pStyle w:val="Default"/>
        <w:numPr>
          <w:ilvl w:val="0"/>
          <w:numId w:val="22"/>
        </w:numPr>
        <w:spacing w:before="120" w:after="120"/>
        <w:jc w:val="both"/>
        <w:rPr>
          <w:rFonts w:asciiTheme="majorBidi" w:hAnsiTheme="majorBidi" w:cstheme="majorBidi"/>
          <w:sz w:val="22"/>
          <w:szCs w:val="22"/>
        </w:rPr>
      </w:pPr>
      <w:r w:rsidRPr="009D6CE7">
        <w:rPr>
          <w:rFonts w:asciiTheme="majorBidi" w:hAnsiTheme="majorBidi" w:cstheme="majorBidi"/>
          <w:sz w:val="22"/>
          <w:szCs w:val="22"/>
        </w:rPr>
        <w:t>The concentration of lactate dehydrogenase (LDH) in the pleural fluid should be greater than 1000 IU/L.</w:t>
      </w:r>
    </w:p>
    <w:p w:rsidR="00F05982" w:rsidRPr="009D6CE7" w:rsidRDefault="00F05982" w:rsidP="009D6CE7">
      <w:pPr>
        <w:pStyle w:val="Default"/>
        <w:numPr>
          <w:ilvl w:val="0"/>
          <w:numId w:val="22"/>
        </w:numPr>
        <w:spacing w:before="120" w:after="120"/>
        <w:jc w:val="both"/>
        <w:rPr>
          <w:rFonts w:asciiTheme="majorBidi" w:hAnsiTheme="majorBidi" w:cstheme="majorBidi"/>
          <w:sz w:val="22"/>
          <w:szCs w:val="22"/>
        </w:rPr>
      </w:pPr>
      <w:r w:rsidRPr="009D6CE7">
        <w:rPr>
          <w:rFonts w:asciiTheme="majorBidi" w:hAnsiTheme="majorBidi" w:cstheme="majorBidi"/>
          <w:sz w:val="22"/>
          <w:szCs w:val="22"/>
        </w:rPr>
        <w:t>Gram stain and culture results may be positive</w:t>
      </w:r>
    </w:p>
    <w:p w:rsidR="00ED5FE6" w:rsidRPr="00AD4EA0" w:rsidRDefault="00ED5FE6" w:rsidP="00D3659D">
      <w:pPr>
        <w:pStyle w:val="Default"/>
        <w:spacing w:before="120" w:after="120"/>
        <w:ind w:firstLine="720"/>
        <w:jc w:val="both"/>
        <w:rPr>
          <w:rFonts w:asciiTheme="majorBidi" w:hAnsiTheme="majorBidi" w:cstheme="majorBidi"/>
          <w:b/>
          <w:bCs/>
          <w:sz w:val="22"/>
          <w:szCs w:val="22"/>
        </w:rPr>
      </w:pPr>
      <w:r w:rsidRPr="00AD4EA0">
        <w:rPr>
          <w:rFonts w:asciiTheme="majorBidi" w:hAnsiTheme="majorBidi" w:cstheme="majorBidi"/>
          <w:b/>
          <w:bCs/>
          <w:sz w:val="22"/>
          <w:szCs w:val="22"/>
        </w:rPr>
        <w:t>Group 5 comprises patients wit</w:t>
      </w:r>
      <w:r w:rsidR="00135D24" w:rsidRPr="00AD4EA0">
        <w:rPr>
          <w:rFonts w:asciiTheme="majorBidi" w:hAnsiTheme="majorBidi" w:cstheme="majorBidi"/>
          <w:b/>
          <w:bCs/>
          <w:sz w:val="22"/>
          <w:szCs w:val="22"/>
        </w:rPr>
        <w:t xml:space="preserve">h </w:t>
      </w:r>
      <w:proofErr w:type="spellStart"/>
      <w:r w:rsidR="00135D24" w:rsidRPr="00AD4EA0">
        <w:rPr>
          <w:rFonts w:asciiTheme="majorBidi" w:hAnsiTheme="majorBidi" w:cstheme="majorBidi"/>
          <w:b/>
          <w:bCs/>
          <w:sz w:val="22"/>
          <w:szCs w:val="22"/>
        </w:rPr>
        <w:t>transudative</w:t>
      </w:r>
      <w:proofErr w:type="spellEnd"/>
      <w:r w:rsidR="00135D24" w:rsidRPr="00AD4EA0">
        <w:rPr>
          <w:rFonts w:asciiTheme="majorBidi" w:hAnsiTheme="majorBidi" w:cstheme="majorBidi"/>
          <w:b/>
          <w:bCs/>
          <w:sz w:val="22"/>
          <w:szCs w:val="22"/>
        </w:rPr>
        <w:t xml:space="preserve"> pleural effusion:</w:t>
      </w:r>
    </w:p>
    <w:p w:rsidR="001C5201" w:rsidRPr="00AD4EA0" w:rsidRDefault="00E404CB" w:rsidP="00D3659D">
      <w:pPr>
        <w:pStyle w:val="Default"/>
        <w:spacing w:before="120" w:after="120"/>
        <w:jc w:val="both"/>
        <w:rPr>
          <w:rFonts w:asciiTheme="majorBidi" w:hAnsiTheme="majorBidi" w:cstheme="majorBidi"/>
          <w:sz w:val="22"/>
          <w:szCs w:val="22"/>
        </w:rPr>
      </w:pPr>
      <w:proofErr w:type="spellStart"/>
      <w:r w:rsidRPr="00AD4EA0">
        <w:rPr>
          <w:rFonts w:asciiTheme="majorBidi" w:hAnsiTheme="majorBidi" w:cstheme="majorBidi"/>
          <w:sz w:val="22"/>
          <w:szCs w:val="22"/>
        </w:rPr>
        <w:t>Transudative</w:t>
      </w:r>
      <w:proofErr w:type="spellEnd"/>
      <w:r w:rsidRPr="00AD4EA0">
        <w:rPr>
          <w:rFonts w:asciiTheme="majorBidi" w:hAnsiTheme="majorBidi" w:cstheme="majorBidi"/>
          <w:sz w:val="22"/>
          <w:szCs w:val="22"/>
        </w:rPr>
        <w:t xml:space="preserve"> pleural effusion i</w:t>
      </w:r>
      <w:r w:rsidR="00135D24" w:rsidRPr="00AD4EA0">
        <w:rPr>
          <w:rFonts w:asciiTheme="majorBidi" w:hAnsiTheme="majorBidi" w:cstheme="majorBidi"/>
          <w:sz w:val="22"/>
          <w:szCs w:val="22"/>
        </w:rPr>
        <w:t>s identified by</w:t>
      </w:r>
      <w:r w:rsidRPr="00AD4EA0">
        <w:rPr>
          <w:rFonts w:asciiTheme="majorBidi" w:hAnsiTheme="majorBidi" w:cstheme="majorBidi"/>
          <w:sz w:val="22"/>
          <w:szCs w:val="22"/>
        </w:rPr>
        <w:t xml:space="preserve"> its chemical analysis as it does</w:t>
      </w:r>
      <w:r w:rsidR="00135D24" w:rsidRPr="00AD4EA0">
        <w:rPr>
          <w:rFonts w:asciiTheme="majorBidi" w:hAnsiTheme="majorBidi" w:cstheme="majorBidi"/>
          <w:sz w:val="22"/>
          <w:szCs w:val="22"/>
        </w:rPr>
        <w:t xml:space="preserve"> not meet </w:t>
      </w:r>
      <w:r w:rsidR="001A2841" w:rsidRPr="00AD4EA0">
        <w:rPr>
          <w:rFonts w:asciiTheme="majorBidi" w:hAnsiTheme="majorBidi" w:cstheme="majorBidi"/>
          <w:sz w:val="22"/>
          <w:szCs w:val="22"/>
        </w:rPr>
        <w:t>an</w:t>
      </w:r>
      <w:r w:rsidR="00F709FC">
        <w:rPr>
          <w:rFonts w:asciiTheme="majorBidi" w:hAnsiTheme="majorBidi" w:cstheme="majorBidi"/>
          <w:sz w:val="22"/>
          <w:szCs w:val="22"/>
        </w:rPr>
        <w:t>y of modified light criteria [13</w:t>
      </w:r>
      <w:r w:rsidR="001A2841" w:rsidRPr="00AD4EA0">
        <w:rPr>
          <w:rFonts w:asciiTheme="majorBidi" w:hAnsiTheme="majorBidi" w:cstheme="majorBidi"/>
          <w:sz w:val="22"/>
          <w:szCs w:val="22"/>
        </w:rPr>
        <w:t>]</w:t>
      </w:r>
      <w:r w:rsidR="00135D24" w:rsidRPr="00AD4EA0">
        <w:rPr>
          <w:rFonts w:asciiTheme="majorBidi" w:hAnsiTheme="majorBidi" w:cstheme="majorBidi"/>
          <w:sz w:val="22"/>
          <w:szCs w:val="22"/>
        </w:rPr>
        <w:t xml:space="preserve">. </w:t>
      </w:r>
      <w:r w:rsidR="00B7679F" w:rsidRPr="00AD4EA0">
        <w:rPr>
          <w:rFonts w:asciiTheme="majorBidi" w:hAnsiTheme="majorBidi" w:cstheme="majorBidi"/>
          <w:sz w:val="22"/>
          <w:szCs w:val="22"/>
        </w:rPr>
        <w:t xml:space="preserve"> </w:t>
      </w:r>
    </w:p>
    <w:p w:rsidR="00E404CB" w:rsidRPr="00AD4EA0" w:rsidRDefault="00E404CB" w:rsidP="00AD4EA0">
      <w:pPr>
        <w:pStyle w:val="Default"/>
        <w:spacing w:before="120" w:after="120"/>
        <w:jc w:val="both"/>
        <w:rPr>
          <w:rFonts w:asciiTheme="majorBidi" w:hAnsiTheme="majorBidi" w:cstheme="majorBidi"/>
          <w:sz w:val="22"/>
          <w:szCs w:val="22"/>
        </w:rPr>
      </w:pPr>
      <w:r w:rsidRPr="00AD4EA0">
        <w:rPr>
          <w:rFonts w:asciiTheme="majorBidi" w:hAnsiTheme="majorBidi" w:cstheme="majorBidi"/>
          <w:b/>
          <w:bCs/>
          <w:sz w:val="22"/>
          <w:szCs w:val="22"/>
        </w:rPr>
        <w:t>The exclusion criteria</w:t>
      </w:r>
      <w:r w:rsidRPr="00AD4EA0">
        <w:rPr>
          <w:rFonts w:asciiTheme="majorBidi" w:hAnsiTheme="majorBidi" w:cstheme="majorBidi"/>
          <w:sz w:val="22"/>
          <w:szCs w:val="22"/>
        </w:rPr>
        <w:t xml:space="preserve"> for the study are essential for defining the specific patient population that will be included and ensuring that the study's results are not confounded by certain factors or treatments. Here are the exclusion criteria for the study:</w:t>
      </w:r>
    </w:p>
    <w:p w:rsidR="00E404CB" w:rsidRPr="009D6CE7" w:rsidRDefault="009D6CE7" w:rsidP="009D6CE7">
      <w:pPr>
        <w:pStyle w:val="Default"/>
        <w:numPr>
          <w:ilvl w:val="0"/>
          <w:numId w:val="23"/>
        </w:numPr>
        <w:spacing w:before="120" w:after="120"/>
        <w:jc w:val="both"/>
        <w:rPr>
          <w:rFonts w:asciiTheme="majorBidi" w:hAnsiTheme="majorBidi" w:cstheme="majorBidi"/>
          <w:sz w:val="22"/>
          <w:szCs w:val="22"/>
        </w:rPr>
      </w:pPr>
      <w:r>
        <w:rPr>
          <w:rFonts w:asciiTheme="majorBidi" w:hAnsiTheme="majorBidi" w:cstheme="majorBidi"/>
          <w:sz w:val="22"/>
          <w:szCs w:val="22"/>
        </w:rPr>
        <w:t>Treatment with Anticancer Drugs.</w:t>
      </w:r>
    </w:p>
    <w:p w:rsidR="00E404CB" w:rsidRPr="00AD4EA0" w:rsidRDefault="00E404CB" w:rsidP="00AD4EA0">
      <w:pPr>
        <w:pStyle w:val="Default"/>
        <w:numPr>
          <w:ilvl w:val="0"/>
          <w:numId w:val="23"/>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Treatmen</w:t>
      </w:r>
      <w:r w:rsidR="009D6CE7">
        <w:rPr>
          <w:rFonts w:asciiTheme="majorBidi" w:hAnsiTheme="majorBidi" w:cstheme="majorBidi"/>
          <w:sz w:val="22"/>
          <w:szCs w:val="22"/>
        </w:rPr>
        <w:t>t with Anti-Tuberculous Therapy.</w:t>
      </w:r>
    </w:p>
    <w:p w:rsidR="00E404CB" w:rsidRPr="009D6CE7" w:rsidRDefault="00732296" w:rsidP="009D6CE7">
      <w:pPr>
        <w:pStyle w:val="Default"/>
        <w:numPr>
          <w:ilvl w:val="0"/>
          <w:numId w:val="23"/>
        </w:numPr>
        <w:spacing w:before="120" w:after="120"/>
        <w:jc w:val="both"/>
        <w:rPr>
          <w:rFonts w:asciiTheme="majorBidi" w:hAnsiTheme="majorBidi" w:cstheme="majorBidi"/>
          <w:sz w:val="22"/>
          <w:szCs w:val="22"/>
        </w:rPr>
      </w:pPr>
      <w:r w:rsidRPr="00732296">
        <w:rPr>
          <w:rFonts w:asciiTheme="majorBidi" w:hAnsiTheme="majorBidi" w:cstheme="majorBidi"/>
          <w:sz w:val="22"/>
          <w:szCs w:val="22"/>
        </w:rPr>
        <w:t>Using Other Anti-Inflammatory Therapies and Glucocorticoids</w:t>
      </w:r>
      <w:r w:rsidR="00E404CB" w:rsidRPr="009D6CE7">
        <w:rPr>
          <w:rFonts w:asciiTheme="majorBidi" w:hAnsiTheme="majorBidi" w:cstheme="majorBidi"/>
          <w:sz w:val="22"/>
          <w:szCs w:val="22"/>
        </w:rPr>
        <w:t>.</w:t>
      </w:r>
    </w:p>
    <w:p w:rsidR="009D6CE7" w:rsidRDefault="00E404CB" w:rsidP="009D6CE7">
      <w:pPr>
        <w:pStyle w:val="Default"/>
        <w:numPr>
          <w:ilvl w:val="0"/>
          <w:numId w:val="23"/>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Pat</w:t>
      </w:r>
      <w:r w:rsidR="009D6CE7">
        <w:rPr>
          <w:rFonts w:asciiTheme="majorBidi" w:hAnsiTheme="majorBidi" w:cstheme="majorBidi"/>
          <w:sz w:val="22"/>
          <w:szCs w:val="22"/>
        </w:rPr>
        <w:t>ients Who Refuse to Participate.</w:t>
      </w:r>
    </w:p>
    <w:p w:rsidR="00B411FC" w:rsidRPr="00AD4EA0" w:rsidRDefault="00B411FC" w:rsidP="00AD4EA0">
      <w:pPr>
        <w:pStyle w:val="Default"/>
        <w:spacing w:before="120" w:after="120"/>
        <w:jc w:val="both"/>
        <w:rPr>
          <w:rFonts w:asciiTheme="majorBidi" w:hAnsiTheme="majorBidi" w:cstheme="majorBidi"/>
          <w:b/>
          <w:bCs/>
          <w:sz w:val="22"/>
          <w:szCs w:val="22"/>
        </w:rPr>
      </w:pPr>
      <w:r w:rsidRPr="00AD4EA0">
        <w:rPr>
          <w:rFonts w:asciiTheme="majorBidi" w:hAnsiTheme="majorBidi" w:cstheme="majorBidi"/>
          <w:b/>
          <w:bCs/>
          <w:sz w:val="22"/>
          <w:szCs w:val="22"/>
        </w:rPr>
        <w:t>The various diagnostic procedures and investigations that were</w:t>
      </w:r>
      <w:r w:rsidR="001A2841" w:rsidRPr="00AD4EA0">
        <w:rPr>
          <w:rFonts w:asciiTheme="majorBidi" w:hAnsiTheme="majorBidi" w:cstheme="majorBidi"/>
          <w:b/>
          <w:bCs/>
          <w:sz w:val="22"/>
          <w:szCs w:val="22"/>
        </w:rPr>
        <w:t xml:space="preserve"> performed on the patients as part of the study </w:t>
      </w:r>
      <w:r w:rsidRPr="00AD4EA0">
        <w:rPr>
          <w:rFonts w:asciiTheme="majorBidi" w:hAnsiTheme="majorBidi" w:cstheme="majorBidi"/>
          <w:b/>
          <w:bCs/>
          <w:sz w:val="22"/>
          <w:szCs w:val="22"/>
        </w:rPr>
        <w:t>included:</w:t>
      </w:r>
    </w:p>
    <w:p w:rsidR="00B411FC" w:rsidRPr="00AD4EA0" w:rsidRDefault="009D6CE7" w:rsidP="00AD4EA0">
      <w:pPr>
        <w:pStyle w:val="Default"/>
        <w:numPr>
          <w:ilvl w:val="0"/>
          <w:numId w:val="24"/>
        </w:numPr>
        <w:spacing w:before="120" w:after="120"/>
        <w:jc w:val="both"/>
        <w:rPr>
          <w:rFonts w:asciiTheme="majorBidi" w:hAnsiTheme="majorBidi" w:cstheme="majorBidi"/>
          <w:sz w:val="22"/>
          <w:szCs w:val="22"/>
        </w:rPr>
      </w:pPr>
      <w:r>
        <w:rPr>
          <w:rFonts w:asciiTheme="majorBidi" w:hAnsiTheme="majorBidi" w:cstheme="majorBidi"/>
          <w:sz w:val="22"/>
          <w:szCs w:val="22"/>
        </w:rPr>
        <w:t>Full Medical History.</w:t>
      </w:r>
    </w:p>
    <w:p w:rsidR="00B411FC" w:rsidRPr="00AD4EA0" w:rsidRDefault="009D6CE7" w:rsidP="00AD4EA0">
      <w:pPr>
        <w:pStyle w:val="Default"/>
        <w:numPr>
          <w:ilvl w:val="0"/>
          <w:numId w:val="24"/>
        </w:numPr>
        <w:spacing w:before="120" w:after="120"/>
        <w:jc w:val="both"/>
        <w:rPr>
          <w:rFonts w:asciiTheme="majorBidi" w:hAnsiTheme="majorBidi" w:cstheme="majorBidi"/>
          <w:sz w:val="22"/>
          <w:szCs w:val="22"/>
        </w:rPr>
      </w:pPr>
      <w:r>
        <w:rPr>
          <w:rFonts w:asciiTheme="majorBidi" w:hAnsiTheme="majorBidi" w:cstheme="majorBidi"/>
          <w:sz w:val="22"/>
          <w:szCs w:val="22"/>
        </w:rPr>
        <w:t>Thorough Physical Examination.</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Routine L</w:t>
      </w:r>
      <w:r w:rsidR="009D6CE7">
        <w:rPr>
          <w:rFonts w:asciiTheme="majorBidi" w:hAnsiTheme="majorBidi" w:cstheme="majorBidi"/>
          <w:sz w:val="22"/>
          <w:szCs w:val="22"/>
        </w:rPr>
        <w:t>aboratory Investigations</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A battery of routine laboratory tests, including complete blood picture, erythrocyte sedimentation rate (ESR), and coagulation profile.</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Liver function tests, focusing on liver enzymes and serum albumin</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Kidney function tests, measuring serum urea and serum creatinine</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 xml:space="preserve">Measurement of total serum protein and lactate dehydrogenase (LDH) levels to differentiate </w:t>
      </w:r>
      <w:proofErr w:type="spellStart"/>
      <w:r w:rsidRPr="00AD4EA0">
        <w:rPr>
          <w:rFonts w:asciiTheme="majorBidi" w:hAnsiTheme="majorBidi" w:cstheme="majorBidi"/>
          <w:sz w:val="22"/>
          <w:szCs w:val="22"/>
        </w:rPr>
        <w:t>transudative</w:t>
      </w:r>
      <w:proofErr w:type="spellEnd"/>
      <w:r w:rsidRPr="00AD4EA0">
        <w:rPr>
          <w:rFonts w:asciiTheme="majorBidi" w:hAnsiTheme="majorBidi" w:cstheme="majorBidi"/>
          <w:sz w:val="22"/>
          <w:szCs w:val="22"/>
        </w:rPr>
        <w:t xml:space="preserve"> from exudative pleural effusions.</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Radiological Examination:</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lastRenderedPageBreak/>
        <w:t xml:space="preserve">Chest imaging, including plain chest X-ray </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When indicated, additional imaging such as chest CT, abdominal and chest ultrasonography, and echocardiography were performed.</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 xml:space="preserve">Diagnostic </w:t>
      </w:r>
      <w:proofErr w:type="spellStart"/>
      <w:r w:rsidRPr="00AD4EA0">
        <w:rPr>
          <w:rFonts w:asciiTheme="majorBidi" w:hAnsiTheme="majorBidi" w:cstheme="majorBidi"/>
          <w:sz w:val="22"/>
          <w:szCs w:val="22"/>
        </w:rPr>
        <w:t>Thoracocentesis</w:t>
      </w:r>
      <w:proofErr w:type="spellEnd"/>
      <w:r w:rsidRPr="00AD4EA0">
        <w:rPr>
          <w:rFonts w:asciiTheme="majorBidi" w:hAnsiTheme="majorBidi" w:cstheme="majorBidi"/>
          <w:sz w:val="22"/>
          <w:szCs w:val="22"/>
        </w:rPr>
        <w:t>:</w:t>
      </w:r>
    </w:p>
    <w:p w:rsidR="00B411FC" w:rsidRPr="00503E95" w:rsidRDefault="00B411FC" w:rsidP="00AD4EA0">
      <w:pPr>
        <w:pStyle w:val="Default"/>
        <w:numPr>
          <w:ilvl w:val="1"/>
          <w:numId w:val="24"/>
        </w:numPr>
        <w:spacing w:before="120" w:after="120"/>
        <w:jc w:val="both"/>
        <w:rPr>
          <w:rFonts w:asciiTheme="majorBidi" w:hAnsiTheme="majorBidi" w:cstheme="majorBidi"/>
          <w:color w:val="FF0000"/>
          <w:sz w:val="22"/>
          <w:szCs w:val="22"/>
        </w:rPr>
      </w:pPr>
      <w:r w:rsidRPr="00AD4EA0">
        <w:rPr>
          <w:rFonts w:asciiTheme="majorBidi" w:hAnsiTheme="majorBidi" w:cstheme="majorBidi"/>
          <w:sz w:val="22"/>
          <w:szCs w:val="22"/>
        </w:rPr>
        <w:t xml:space="preserve">A diagnostic </w:t>
      </w:r>
      <w:proofErr w:type="spellStart"/>
      <w:r w:rsidRPr="00AD4EA0">
        <w:rPr>
          <w:rFonts w:asciiTheme="majorBidi" w:hAnsiTheme="majorBidi" w:cstheme="majorBidi"/>
          <w:sz w:val="22"/>
          <w:szCs w:val="22"/>
        </w:rPr>
        <w:t>thoracocentesis</w:t>
      </w:r>
      <w:proofErr w:type="spellEnd"/>
      <w:r w:rsidRPr="00AD4EA0">
        <w:rPr>
          <w:rFonts w:asciiTheme="majorBidi" w:hAnsiTheme="majorBidi" w:cstheme="majorBidi"/>
          <w:sz w:val="22"/>
          <w:szCs w:val="22"/>
        </w:rPr>
        <w:t xml:space="preserve"> was performed, likely to obtain pleural f</w:t>
      </w:r>
      <w:r w:rsidR="003626CC">
        <w:rPr>
          <w:rFonts w:asciiTheme="majorBidi" w:hAnsiTheme="majorBidi" w:cstheme="majorBidi"/>
          <w:sz w:val="22"/>
          <w:szCs w:val="22"/>
        </w:rPr>
        <w:t>lui</w:t>
      </w:r>
      <w:r w:rsidR="00BE04A5">
        <w:rPr>
          <w:rFonts w:asciiTheme="majorBidi" w:hAnsiTheme="majorBidi" w:cstheme="majorBidi"/>
          <w:sz w:val="22"/>
          <w:szCs w:val="22"/>
        </w:rPr>
        <w:t xml:space="preserve">d for analysis and diagnosis </w:t>
      </w:r>
      <w:r w:rsidR="00BE04A5" w:rsidRPr="00503E95">
        <w:rPr>
          <w:rFonts w:asciiTheme="majorBidi" w:hAnsiTheme="majorBidi" w:cstheme="majorBidi"/>
          <w:color w:val="FF0000"/>
          <w:sz w:val="22"/>
          <w:szCs w:val="22"/>
        </w:rPr>
        <w:t>[14</w:t>
      </w:r>
      <w:r w:rsidR="003626CC" w:rsidRPr="00503E95">
        <w:rPr>
          <w:rFonts w:asciiTheme="majorBidi" w:hAnsiTheme="majorBidi" w:cstheme="majorBidi"/>
          <w:color w:val="FF0000"/>
          <w:sz w:val="22"/>
          <w:szCs w:val="22"/>
        </w:rPr>
        <w:t>]</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Tuberculin Skin Test:</w:t>
      </w:r>
    </w:p>
    <w:p w:rsidR="00B411FC" w:rsidRPr="00503E95" w:rsidRDefault="00B411FC" w:rsidP="00AD4EA0">
      <w:pPr>
        <w:pStyle w:val="Default"/>
        <w:numPr>
          <w:ilvl w:val="1"/>
          <w:numId w:val="24"/>
        </w:numPr>
        <w:spacing w:before="120" w:after="120"/>
        <w:jc w:val="both"/>
        <w:rPr>
          <w:rFonts w:asciiTheme="majorBidi" w:hAnsiTheme="majorBidi" w:cstheme="majorBidi"/>
          <w:color w:val="FF0000"/>
          <w:sz w:val="22"/>
          <w:szCs w:val="22"/>
        </w:rPr>
      </w:pPr>
      <w:r w:rsidRPr="00AD4EA0">
        <w:rPr>
          <w:rFonts w:asciiTheme="majorBidi" w:hAnsiTheme="majorBidi" w:cstheme="majorBidi"/>
          <w:sz w:val="22"/>
          <w:szCs w:val="22"/>
        </w:rPr>
        <w:t>Tuberculin skin t</w:t>
      </w:r>
      <w:r w:rsidR="00A4130F">
        <w:rPr>
          <w:rFonts w:asciiTheme="majorBidi" w:hAnsiTheme="majorBidi" w:cstheme="majorBidi"/>
          <w:sz w:val="22"/>
          <w:szCs w:val="22"/>
        </w:rPr>
        <w:t>est was administered to support t</w:t>
      </w:r>
      <w:r w:rsidRPr="00AD4EA0">
        <w:rPr>
          <w:rFonts w:asciiTheme="majorBidi" w:hAnsiTheme="majorBidi" w:cstheme="majorBidi"/>
          <w:sz w:val="22"/>
          <w:szCs w:val="22"/>
        </w:rPr>
        <w:t xml:space="preserve">he diagnosis </w:t>
      </w:r>
      <w:r w:rsidR="0084434C">
        <w:rPr>
          <w:rFonts w:asciiTheme="majorBidi" w:hAnsiTheme="majorBidi" w:cstheme="majorBidi"/>
          <w:sz w:val="22"/>
          <w:szCs w:val="22"/>
        </w:rPr>
        <w:t>of tuberculous pleural effusion</w:t>
      </w:r>
      <w:r w:rsidR="00BE04A5" w:rsidRPr="00BE04A5">
        <w:t xml:space="preserve"> </w:t>
      </w:r>
      <w:r w:rsidR="00BE04A5">
        <w:t>E; however, a negative result can be seen in approximately one third of patients</w:t>
      </w:r>
      <w:r w:rsidR="00BE04A5">
        <w:rPr>
          <w:rFonts w:asciiTheme="majorBidi" w:hAnsiTheme="majorBidi" w:cstheme="majorBidi"/>
          <w:sz w:val="22"/>
          <w:szCs w:val="22"/>
        </w:rPr>
        <w:t xml:space="preserve"> </w:t>
      </w:r>
      <w:r w:rsidR="00BE04A5" w:rsidRPr="00503E95">
        <w:rPr>
          <w:rFonts w:asciiTheme="majorBidi" w:hAnsiTheme="majorBidi" w:cstheme="majorBidi"/>
          <w:color w:val="FF0000"/>
          <w:sz w:val="22"/>
          <w:szCs w:val="22"/>
        </w:rPr>
        <w:t>[15</w:t>
      </w:r>
      <w:r w:rsidR="0084434C" w:rsidRPr="00503E95">
        <w:rPr>
          <w:rFonts w:asciiTheme="majorBidi" w:hAnsiTheme="majorBidi" w:cstheme="majorBidi"/>
          <w:color w:val="FF0000"/>
          <w:sz w:val="22"/>
          <w:szCs w:val="22"/>
        </w:rPr>
        <w:t>]</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Sputum Examination:</w:t>
      </w:r>
    </w:p>
    <w:p w:rsidR="00B411FC" w:rsidRPr="00AD4EA0" w:rsidRDefault="00B411FC" w:rsidP="00AD4EA0">
      <w:pPr>
        <w:pStyle w:val="Default"/>
        <w:numPr>
          <w:ilvl w:val="1"/>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Sputum examination for acid-fast bacilli was conducted as a diagnostic test to identify the presence of mycobacterial infection.</w:t>
      </w:r>
    </w:p>
    <w:p w:rsidR="00B411FC" w:rsidRPr="00AD4EA0" w:rsidRDefault="00B411FC" w:rsidP="00AD4EA0">
      <w:pPr>
        <w:pStyle w:val="Default"/>
        <w:numPr>
          <w:ilvl w:val="0"/>
          <w:numId w:val="24"/>
        </w:numPr>
        <w:spacing w:before="120" w:after="120"/>
        <w:jc w:val="both"/>
        <w:rPr>
          <w:rFonts w:asciiTheme="majorBidi" w:hAnsiTheme="majorBidi" w:cstheme="majorBidi"/>
          <w:sz w:val="22"/>
          <w:szCs w:val="22"/>
        </w:rPr>
      </w:pPr>
      <w:r w:rsidRPr="00AD4EA0">
        <w:rPr>
          <w:rFonts w:asciiTheme="majorBidi" w:hAnsiTheme="majorBidi" w:cstheme="majorBidi"/>
          <w:sz w:val="22"/>
          <w:szCs w:val="22"/>
        </w:rPr>
        <w:t>Collection and Processing of Pleural Fluid Samples:</w:t>
      </w:r>
    </w:p>
    <w:p w:rsidR="000B7B8D" w:rsidRPr="00AD4EA0" w:rsidRDefault="000B7B8D" w:rsidP="00AD4EA0">
      <w:pPr>
        <w:pStyle w:val="Default"/>
        <w:spacing w:before="120" w:after="120"/>
        <w:ind w:left="720"/>
        <w:jc w:val="both"/>
        <w:rPr>
          <w:rFonts w:asciiTheme="majorBidi" w:hAnsiTheme="majorBidi" w:cstheme="majorBidi"/>
          <w:sz w:val="22"/>
          <w:szCs w:val="22"/>
        </w:rPr>
      </w:pPr>
      <w:r w:rsidRPr="00AD4EA0">
        <w:rPr>
          <w:rFonts w:asciiTheme="majorBidi" w:hAnsiTheme="majorBidi" w:cstheme="majorBidi"/>
          <w:sz w:val="22"/>
          <w:szCs w:val="22"/>
        </w:rPr>
        <w:t>the diagnostic examinations and laboratory tests performed on the pleural fluid samples include:</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A. Physical Examination of Pleural Fluid:</w:t>
      </w:r>
    </w:p>
    <w:p w:rsidR="000B7B8D" w:rsidRPr="00AD4EA0" w:rsidRDefault="000B7B8D" w:rsidP="00AD4EA0">
      <w:pPr>
        <w:numPr>
          <w:ilvl w:val="0"/>
          <w:numId w:val="25"/>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This examination includes assessing the color, aspect, turbidity, and specific gravity of the pleural fluid.</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B. Chemical Examination of Pleural Fluid:</w:t>
      </w:r>
    </w:p>
    <w:p w:rsidR="000B7B8D" w:rsidRPr="00AD4EA0" w:rsidRDefault="000B7B8D" w:rsidP="00AD4EA0">
      <w:pPr>
        <w:numPr>
          <w:ilvl w:val="0"/>
          <w:numId w:val="26"/>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This examination includes analyzing proteins, glucose, and lactate dehydrogenase (LDH) in the pleural fluid. Exudative and </w:t>
      </w:r>
      <w:proofErr w:type="spellStart"/>
      <w:r w:rsidRPr="00AD4EA0">
        <w:rPr>
          <w:rFonts w:asciiTheme="majorBidi" w:hAnsiTheme="majorBidi" w:cstheme="majorBidi"/>
          <w:color w:val="000000"/>
        </w:rPr>
        <w:t>transudative</w:t>
      </w:r>
      <w:proofErr w:type="spellEnd"/>
      <w:r w:rsidRPr="00AD4EA0">
        <w:rPr>
          <w:rFonts w:asciiTheme="majorBidi" w:hAnsiTheme="majorBidi" w:cstheme="majorBidi"/>
          <w:color w:val="000000"/>
        </w:rPr>
        <w:t xml:space="preserve"> pleural effusions are classified based on modified Light's criteria, which include criteria related to protein/serum protein ratio, LDH/serum LDH ratio, and absolute LDH value.</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C. Bacteriological Examination of Pleural Fluid:</w:t>
      </w:r>
    </w:p>
    <w:p w:rsidR="000B7B8D" w:rsidRPr="00AD4EA0" w:rsidRDefault="000B7B8D" w:rsidP="00AD4EA0">
      <w:pPr>
        <w:numPr>
          <w:ilvl w:val="0"/>
          <w:numId w:val="27"/>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This examination involves conducting culture and sensitivity tests on the pleural fluid to check for nonspecific infections. Additionally, a smear of pleural fluid is examined for acid-fast bacilli (AFB) using the </w:t>
      </w:r>
      <w:proofErr w:type="spellStart"/>
      <w:r w:rsidRPr="00AD4EA0">
        <w:rPr>
          <w:rFonts w:asciiTheme="majorBidi" w:hAnsiTheme="majorBidi" w:cstheme="majorBidi"/>
          <w:color w:val="000000"/>
        </w:rPr>
        <w:t>Ziehl</w:t>
      </w:r>
      <w:proofErr w:type="spellEnd"/>
      <w:r w:rsidRPr="00AD4EA0">
        <w:rPr>
          <w:rFonts w:asciiTheme="majorBidi" w:hAnsiTheme="majorBidi" w:cstheme="majorBidi"/>
          <w:color w:val="000000"/>
        </w:rPr>
        <w:t>–</w:t>
      </w:r>
      <w:proofErr w:type="spellStart"/>
      <w:r w:rsidRPr="00AD4EA0">
        <w:rPr>
          <w:rFonts w:asciiTheme="majorBidi" w:hAnsiTheme="majorBidi" w:cstheme="majorBidi"/>
          <w:color w:val="000000"/>
        </w:rPr>
        <w:t>Neelsen</w:t>
      </w:r>
      <w:proofErr w:type="spellEnd"/>
      <w:r w:rsidRPr="00AD4EA0">
        <w:rPr>
          <w:rFonts w:asciiTheme="majorBidi" w:hAnsiTheme="majorBidi" w:cstheme="majorBidi"/>
          <w:color w:val="000000"/>
        </w:rPr>
        <w:t xml:space="preserve"> stain.</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D. Cytological Examination of Pleural Fluid:</w:t>
      </w:r>
    </w:p>
    <w:p w:rsidR="000B7B8D" w:rsidRPr="00AD4EA0" w:rsidRDefault="000B7B8D" w:rsidP="00AD4EA0">
      <w:pPr>
        <w:numPr>
          <w:ilvl w:val="0"/>
          <w:numId w:val="28"/>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Cytological examination of the pleural fluid aspirate is performed to detect malignant cells and inflammatory cells, with a specific focus on lymphocytic count and mesothelial cells.</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E. Quantitative Measurement of Pleural Fluid IL-36γ:</w:t>
      </w:r>
    </w:p>
    <w:p w:rsidR="000B7B8D" w:rsidRPr="00584AF4" w:rsidRDefault="00981D9E" w:rsidP="003C631F">
      <w:pPr>
        <w:pStyle w:val="Default"/>
        <w:jc w:val="both"/>
        <w:rPr>
          <w:rFonts w:asciiTheme="majorBidi" w:hAnsiTheme="majorBidi" w:cstheme="majorBidi"/>
          <w:color w:val="FF0000"/>
          <w:sz w:val="22"/>
          <w:szCs w:val="22"/>
        </w:rPr>
      </w:pPr>
      <w:r w:rsidRPr="00584AF4">
        <w:rPr>
          <w:rFonts w:asciiTheme="majorBidi" w:hAnsiTheme="majorBidi" w:cstheme="majorBidi"/>
          <w:color w:val="FF0000"/>
        </w:rPr>
        <w:lastRenderedPageBreak/>
        <w:t>The study included</w:t>
      </w:r>
      <w:r w:rsidR="000B7B8D" w:rsidRPr="00584AF4">
        <w:rPr>
          <w:rFonts w:asciiTheme="majorBidi" w:hAnsiTheme="majorBidi" w:cstheme="majorBidi"/>
          <w:color w:val="FF0000"/>
        </w:rPr>
        <w:t xml:space="preserve"> the measurement of pleural fluid IL-36γ levels using the enzyme-linked immunos</w:t>
      </w:r>
      <w:r w:rsidRPr="00584AF4">
        <w:rPr>
          <w:rFonts w:asciiTheme="majorBidi" w:hAnsiTheme="majorBidi" w:cstheme="majorBidi"/>
          <w:color w:val="FF0000"/>
        </w:rPr>
        <w:t>orbent assay (ELISA) technique (</w:t>
      </w:r>
      <w:proofErr w:type="spellStart"/>
      <w:r w:rsidRPr="00584AF4">
        <w:rPr>
          <w:rFonts w:asciiTheme="majorBidi" w:hAnsiTheme="majorBidi" w:cstheme="majorBidi"/>
          <w:color w:val="FF0000"/>
        </w:rPr>
        <w:t>DuoSet</w:t>
      </w:r>
      <w:proofErr w:type="spellEnd"/>
      <w:r w:rsidRPr="00584AF4">
        <w:rPr>
          <w:rFonts w:asciiTheme="majorBidi" w:hAnsiTheme="majorBidi" w:cstheme="majorBidi"/>
          <w:color w:val="FF0000"/>
        </w:rPr>
        <w:t>® ELISA, R&amp;D Systems China Co., Ltd</w:t>
      </w:r>
      <w:r w:rsidR="00980202" w:rsidRPr="00584AF4">
        <w:rPr>
          <w:rFonts w:asciiTheme="majorBidi" w:hAnsiTheme="majorBidi" w:cstheme="majorBidi"/>
          <w:color w:val="FF0000"/>
        </w:rPr>
        <w:t>.</w:t>
      </w:r>
      <w:r w:rsidRPr="00584AF4">
        <w:rPr>
          <w:rFonts w:asciiTheme="majorBidi" w:hAnsiTheme="majorBidi" w:cstheme="majorBidi"/>
          <w:color w:val="FF0000"/>
        </w:rPr>
        <w:t>)</w:t>
      </w:r>
      <w:r w:rsidR="003C631F" w:rsidRPr="00584AF4">
        <w:rPr>
          <w:rFonts w:asciiTheme="majorBidi" w:hAnsiTheme="majorBidi" w:cstheme="majorBidi"/>
          <w:color w:val="FF0000"/>
        </w:rPr>
        <w:t xml:space="preserve"> </w:t>
      </w:r>
      <w:r w:rsidR="00584AF4" w:rsidRPr="00584AF4">
        <w:rPr>
          <w:rFonts w:asciiTheme="majorBidi" w:hAnsiTheme="majorBidi" w:cstheme="majorBidi"/>
          <w:color w:val="FF0000"/>
        </w:rPr>
        <w:t>IL-36γ</w:t>
      </w:r>
      <w:r w:rsidR="003C631F" w:rsidRPr="00584AF4">
        <w:rPr>
          <w:rFonts w:asciiTheme="majorBidi" w:hAnsiTheme="majorBidi" w:cstheme="majorBidi"/>
          <w:color w:val="FF0000"/>
        </w:rPr>
        <w:t xml:space="preserve">-specific antibody was bound to a microplate. Unbound capture antibody was washed away. Plates were blocked and washed. Samples </w:t>
      </w:r>
      <w:r w:rsidR="003C631F" w:rsidRPr="00584AF4">
        <w:rPr>
          <w:rFonts w:asciiTheme="majorBidi" w:hAnsiTheme="majorBidi" w:cstheme="majorBidi"/>
          <w:color w:val="FF0000"/>
          <w:sz w:val="22"/>
          <w:szCs w:val="22"/>
        </w:rPr>
        <w:t>were added</w:t>
      </w:r>
      <w:r w:rsidR="00C668A5" w:rsidRPr="00584AF4">
        <w:rPr>
          <w:rFonts w:asciiTheme="majorBidi" w:hAnsiTheme="majorBidi" w:cstheme="majorBidi"/>
          <w:color w:val="FF0000"/>
          <w:sz w:val="22"/>
          <w:szCs w:val="22"/>
        </w:rPr>
        <w:t xml:space="preserve"> and any </w:t>
      </w:r>
      <w:r w:rsidR="00584AF4" w:rsidRPr="00584AF4">
        <w:rPr>
          <w:rFonts w:asciiTheme="majorBidi" w:hAnsiTheme="majorBidi" w:cstheme="majorBidi"/>
          <w:color w:val="FF0000"/>
          <w:sz w:val="22"/>
          <w:szCs w:val="22"/>
        </w:rPr>
        <w:t>IL-36γ</w:t>
      </w:r>
      <w:r w:rsidR="00C668A5" w:rsidRPr="00584AF4">
        <w:rPr>
          <w:rFonts w:asciiTheme="majorBidi" w:hAnsiTheme="majorBidi" w:cstheme="majorBidi"/>
          <w:color w:val="FF0000"/>
          <w:sz w:val="22"/>
          <w:szCs w:val="22"/>
        </w:rPr>
        <w:t xml:space="preserve"> present wa</w:t>
      </w:r>
      <w:r w:rsidR="003C631F" w:rsidRPr="00584AF4">
        <w:rPr>
          <w:rFonts w:asciiTheme="majorBidi" w:hAnsiTheme="majorBidi" w:cstheme="majorBidi"/>
          <w:color w:val="FF0000"/>
          <w:sz w:val="22"/>
          <w:szCs w:val="22"/>
        </w:rPr>
        <w:t>s bound by the immobiliz</w:t>
      </w:r>
      <w:r w:rsidR="00C668A5" w:rsidRPr="00584AF4">
        <w:rPr>
          <w:rFonts w:asciiTheme="majorBidi" w:hAnsiTheme="majorBidi" w:cstheme="majorBidi"/>
          <w:color w:val="FF0000"/>
          <w:sz w:val="22"/>
          <w:szCs w:val="22"/>
        </w:rPr>
        <w:t>ed antibody. Unbound materials we</w:t>
      </w:r>
      <w:r w:rsidR="003C631F" w:rsidRPr="00584AF4">
        <w:rPr>
          <w:rFonts w:asciiTheme="majorBidi" w:hAnsiTheme="majorBidi" w:cstheme="majorBidi"/>
          <w:color w:val="FF0000"/>
          <w:sz w:val="22"/>
          <w:szCs w:val="22"/>
        </w:rPr>
        <w:t>re washed away.</w:t>
      </w:r>
      <w:r w:rsidR="00C668A5" w:rsidRPr="00584AF4">
        <w:rPr>
          <w:rFonts w:ascii="Arial" w:hAnsi="Arial" w:cs="Arial"/>
          <w:color w:val="FF0000"/>
          <w:sz w:val="20"/>
          <w:szCs w:val="20"/>
          <w:shd w:val="clear" w:color="auto" w:fill="FFFFFF"/>
        </w:rPr>
        <w:t xml:space="preserve"> </w:t>
      </w:r>
      <w:r w:rsidR="00C668A5" w:rsidRPr="00584AF4">
        <w:rPr>
          <w:rFonts w:asciiTheme="majorBidi" w:hAnsiTheme="majorBidi" w:cstheme="majorBidi"/>
          <w:color w:val="FF0000"/>
          <w:sz w:val="22"/>
          <w:szCs w:val="22"/>
        </w:rPr>
        <w:t>Streptavidin-Horseradish Peroxidase (HRP) was used to bind to the detection antibody. Unbound streptavidin-HRP was washed away.</w:t>
      </w:r>
      <w:r w:rsidR="00C668A5" w:rsidRPr="00584AF4">
        <w:rPr>
          <w:rFonts w:ascii="Arial" w:hAnsi="Arial" w:cs="Arial"/>
          <w:color w:val="FF0000"/>
          <w:sz w:val="20"/>
          <w:szCs w:val="20"/>
          <w:shd w:val="clear" w:color="auto" w:fill="FFFFFF"/>
        </w:rPr>
        <w:t xml:space="preserve"> </w:t>
      </w:r>
      <w:proofErr w:type="spellStart"/>
      <w:r w:rsidR="00C668A5" w:rsidRPr="00584AF4">
        <w:rPr>
          <w:rFonts w:asciiTheme="majorBidi" w:hAnsiTheme="majorBidi" w:cstheme="majorBidi"/>
          <w:color w:val="FF0000"/>
          <w:sz w:val="22"/>
          <w:szCs w:val="22"/>
        </w:rPr>
        <w:t>Tetramethylbenzidine</w:t>
      </w:r>
      <w:proofErr w:type="spellEnd"/>
      <w:r w:rsidR="00C668A5" w:rsidRPr="00584AF4">
        <w:rPr>
          <w:rFonts w:asciiTheme="majorBidi" w:hAnsiTheme="majorBidi" w:cstheme="majorBidi"/>
          <w:color w:val="FF0000"/>
          <w:sz w:val="22"/>
          <w:szCs w:val="22"/>
        </w:rPr>
        <w:t xml:space="preserve"> (TMB) substrate solution was added to the wells and a blue color develop in proportion to the amount of </w:t>
      </w:r>
      <w:r w:rsidR="00584AF4" w:rsidRPr="00584AF4">
        <w:rPr>
          <w:rFonts w:asciiTheme="majorBidi" w:hAnsiTheme="majorBidi" w:cstheme="majorBidi"/>
          <w:color w:val="FF0000"/>
          <w:sz w:val="22"/>
          <w:szCs w:val="22"/>
        </w:rPr>
        <w:t>IL-36γ</w:t>
      </w:r>
      <w:r w:rsidR="00C668A5" w:rsidRPr="00584AF4">
        <w:rPr>
          <w:rFonts w:asciiTheme="majorBidi" w:hAnsiTheme="majorBidi" w:cstheme="majorBidi"/>
          <w:color w:val="FF0000"/>
          <w:sz w:val="22"/>
          <w:szCs w:val="22"/>
        </w:rPr>
        <w:t xml:space="preserve"> present in the sample. </w:t>
      </w:r>
    </w:p>
    <w:p w:rsidR="000B7B8D" w:rsidRPr="00AD4EA0" w:rsidRDefault="000B7B8D" w:rsidP="00981D9E">
      <w:pPr>
        <w:numPr>
          <w:ilvl w:val="0"/>
          <w:numId w:val="30"/>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Pleural Biopsies:</w:t>
      </w:r>
    </w:p>
    <w:p w:rsidR="000B7B8D" w:rsidRPr="00AD4EA0" w:rsidRDefault="000B7B8D" w:rsidP="00AD4EA0">
      <w:pPr>
        <w:numPr>
          <w:ilvl w:val="1"/>
          <w:numId w:val="30"/>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Pleural biopsies were taken for patients in groups 1 (tuberculous pleural effusion) and 2 (malignant pleural effusion) using either closed pleural biopsies with Abram's needle or </w:t>
      </w:r>
      <w:proofErr w:type="spellStart"/>
      <w:r w:rsidRPr="00AD4EA0">
        <w:rPr>
          <w:rFonts w:asciiTheme="majorBidi" w:hAnsiTheme="majorBidi" w:cstheme="majorBidi"/>
          <w:color w:val="000000"/>
        </w:rPr>
        <w:t>thoracoscopic</w:t>
      </w:r>
      <w:proofErr w:type="spellEnd"/>
      <w:r w:rsidRPr="00AD4EA0">
        <w:rPr>
          <w:rFonts w:asciiTheme="majorBidi" w:hAnsiTheme="majorBidi" w:cstheme="majorBidi"/>
          <w:color w:val="000000"/>
        </w:rPr>
        <w:t xml:space="preserve"> biopsies. These biopsies provide histological information for diagnosis.</w:t>
      </w:r>
    </w:p>
    <w:p w:rsidR="000B7B8D" w:rsidRPr="00AD4EA0" w:rsidRDefault="000B7B8D" w:rsidP="00AD4EA0">
      <w:pPr>
        <w:spacing w:before="120" w:after="120" w:line="240" w:lineRule="auto"/>
        <w:jc w:val="both"/>
        <w:rPr>
          <w:rFonts w:asciiTheme="majorBidi" w:hAnsiTheme="majorBidi" w:cstheme="majorBidi"/>
          <w:b/>
          <w:bCs/>
          <w:color w:val="000000"/>
        </w:rPr>
      </w:pPr>
      <w:r w:rsidRPr="00AD4EA0">
        <w:rPr>
          <w:rFonts w:asciiTheme="majorBidi" w:hAnsiTheme="majorBidi" w:cstheme="majorBidi"/>
          <w:b/>
          <w:bCs/>
          <w:color w:val="000000"/>
        </w:rPr>
        <w:t>Data Management:</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The collected data were managed and statistically analyzed using the Statistical Package for Social Science (SPSS) version 16.0. Data were assessed for normality of distribution using statistical tests.</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Categorical data were presented as numbers and percentages.</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Continuous data were presented as mean and standard deviation (SD) for normally distributed data and as median and interquartile range (IQR) for skewed data.</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 xml:space="preserve">Statistical tests, such as Mann-Whitney's test and </w:t>
      </w:r>
      <w:proofErr w:type="spellStart"/>
      <w:r w:rsidRPr="00AD4EA0">
        <w:rPr>
          <w:rFonts w:asciiTheme="majorBidi" w:hAnsiTheme="majorBidi" w:cstheme="majorBidi"/>
          <w:color w:val="000000"/>
        </w:rPr>
        <w:t>Kruskal</w:t>
      </w:r>
      <w:proofErr w:type="spellEnd"/>
      <w:r w:rsidRPr="00AD4EA0">
        <w:rPr>
          <w:rFonts w:asciiTheme="majorBidi" w:hAnsiTheme="majorBidi" w:cstheme="majorBidi"/>
          <w:color w:val="000000"/>
        </w:rPr>
        <w:t>-Wallis test, were used for comparing data between groups.</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Correlation analysis was performed using Spearman's correlation coefficient.</w:t>
      </w:r>
    </w:p>
    <w:p w:rsidR="000B7B8D" w:rsidRPr="00AD4EA0" w:rsidRDefault="000B7B8D" w:rsidP="00AD4EA0">
      <w:pPr>
        <w:numPr>
          <w:ilvl w:val="0"/>
          <w:numId w:val="31"/>
        </w:num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Sensitivity and specificity analyses were conducted using receiver operating characteristic (ROC) curve analysis to evaluate diagnostic accuracy.</w:t>
      </w:r>
    </w:p>
    <w:p w:rsidR="000B7B8D" w:rsidRPr="00AD4EA0" w:rsidRDefault="000B7B8D" w:rsidP="00AD4EA0">
      <w:pPr>
        <w:spacing w:before="120" w:after="120" w:line="240" w:lineRule="auto"/>
        <w:jc w:val="both"/>
        <w:rPr>
          <w:rFonts w:asciiTheme="majorBidi" w:hAnsiTheme="majorBidi" w:cstheme="majorBidi"/>
          <w:color w:val="000000"/>
        </w:rPr>
      </w:pPr>
      <w:r w:rsidRPr="00AD4EA0">
        <w:rPr>
          <w:rFonts w:asciiTheme="majorBidi" w:hAnsiTheme="majorBidi" w:cstheme="majorBidi"/>
          <w:color w:val="000000"/>
        </w:rPr>
        <w:t>The study's data management and statistical analysis procedures aim to provide a comprehensive and rigorous assessment of the collected data and support the study's objectives related to diagnosing and differentiating pleural effusion types.</w:t>
      </w:r>
    </w:p>
    <w:p w:rsidR="001C5201" w:rsidRPr="00AD4EA0" w:rsidRDefault="00B7679F" w:rsidP="00AD4EA0">
      <w:pPr>
        <w:spacing w:before="120" w:after="120" w:line="240" w:lineRule="auto"/>
        <w:jc w:val="both"/>
        <w:rPr>
          <w:rFonts w:asciiTheme="majorBidi" w:hAnsiTheme="majorBidi" w:cstheme="majorBidi"/>
          <w:b/>
          <w:bCs/>
          <w:lang w:bidi="ar-EG"/>
        </w:rPr>
      </w:pPr>
      <w:r w:rsidRPr="00AD4EA0">
        <w:rPr>
          <w:rFonts w:asciiTheme="majorBidi" w:hAnsiTheme="majorBidi" w:cstheme="majorBidi"/>
          <w:b/>
          <w:bCs/>
          <w:lang w:bidi="ar-EG"/>
        </w:rPr>
        <w:t>Results</w:t>
      </w:r>
    </w:p>
    <w:p w:rsidR="00BE246B" w:rsidRPr="00AD4EA0" w:rsidRDefault="00FC1226" w:rsidP="00FC1226">
      <w:pPr>
        <w:spacing w:line="240" w:lineRule="auto"/>
        <w:jc w:val="both"/>
        <w:rPr>
          <w:rFonts w:asciiTheme="majorBidi" w:hAnsiTheme="majorBidi" w:cstheme="majorBidi"/>
          <w:lang w:bidi="ar-EG"/>
        </w:rPr>
      </w:pPr>
      <w:r>
        <w:rPr>
          <w:rFonts w:asciiTheme="majorBidi" w:hAnsiTheme="majorBidi" w:cstheme="majorBidi"/>
          <w:lang w:bidi="ar-EG"/>
        </w:rPr>
        <w:t>The</w:t>
      </w:r>
      <w:r w:rsidR="00BE246B" w:rsidRPr="00AD4EA0">
        <w:rPr>
          <w:rFonts w:asciiTheme="majorBidi" w:hAnsiTheme="majorBidi" w:cstheme="majorBidi"/>
          <w:lang w:bidi="ar-EG"/>
        </w:rPr>
        <w:t xml:space="preserve"> </w:t>
      </w:r>
      <w:r w:rsidR="00A520C3" w:rsidRPr="002C21CD">
        <w:rPr>
          <w:rFonts w:asciiTheme="majorBidi" w:hAnsiTheme="majorBidi" w:cstheme="majorBidi"/>
          <w:highlight w:val="yellow"/>
          <w:lang w:bidi="ar-EG"/>
        </w:rPr>
        <w:t>median level</w:t>
      </w:r>
      <w:r w:rsidR="00A520C3">
        <w:rPr>
          <w:rFonts w:asciiTheme="majorBidi" w:hAnsiTheme="majorBidi" w:cstheme="majorBidi"/>
          <w:lang w:bidi="ar-EG"/>
        </w:rPr>
        <w:t xml:space="preserve"> of </w:t>
      </w:r>
      <w:r w:rsidR="00A520C3" w:rsidRPr="00AD4EA0">
        <w:rPr>
          <w:rFonts w:asciiTheme="majorBidi" w:hAnsiTheme="majorBidi" w:cstheme="majorBidi"/>
          <w:lang w:bidi="ar-EG"/>
        </w:rPr>
        <w:t xml:space="preserve">IL-36γ </w:t>
      </w:r>
      <w:r w:rsidR="00A520C3">
        <w:rPr>
          <w:rFonts w:asciiTheme="majorBidi" w:hAnsiTheme="majorBidi" w:cstheme="majorBidi"/>
          <w:lang w:bidi="ar-EG"/>
        </w:rPr>
        <w:t>in TPE group</w:t>
      </w:r>
      <w:r w:rsidR="005B7D2D" w:rsidRPr="005B7D2D">
        <w:rPr>
          <w:rFonts w:asciiTheme="majorBidi" w:hAnsiTheme="majorBidi" w:cstheme="majorBidi"/>
          <w:highlight w:val="yellow"/>
          <w:lang w:bidi="ar-EG"/>
        </w:rPr>
        <w:t>(n=20)</w:t>
      </w:r>
      <w:r w:rsidR="00A520C3">
        <w:rPr>
          <w:rFonts w:asciiTheme="majorBidi" w:hAnsiTheme="majorBidi" w:cstheme="majorBidi"/>
          <w:lang w:bidi="ar-EG"/>
        </w:rPr>
        <w:t xml:space="preserve"> was </w:t>
      </w:r>
      <w:r w:rsidR="00A520C3" w:rsidRPr="009D1D0D">
        <w:rPr>
          <w:rFonts w:ascii="Times New Roman" w:eastAsia="Times New Roman" w:hAnsi="Times New Roman" w:cs="Times New Roman"/>
          <w:sz w:val="24"/>
          <w:szCs w:val="24"/>
        </w:rPr>
        <w:t>774.89</w:t>
      </w:r>
      <w:r w:rsidR="00A520C3">
        <w:rPr>
          <w:rFonts w:ascii="Times New Roman" w:eastAsia="Times New Roman" w:hAnsi="Times New Roman" w:cs="Times New Roman"/>
          <w:sz w:val="24"/>
          <w:szCs w:val="24"/>
        </w:rPr>
        <w:t xml:space="preserve"> </w:t>
      </w:r>
      <w:proofErr w:type="spellStart"/>
      <w:r w:rsidR="00A520C3" w:rsidRPr="00A520C3">
        <w:rPr>
          <w:rFonts w:ascii="Times New Roman" w:eastAsia="Times New Roman" w:hAnsi="Times New Roman" w:cs="Times New Roman"/>
          <w:sz w:val="24"/>
          <w:szCs w:val="24"/>
        </w:rPr>
        <w:t>pg</w:t>
      </w:r>
      <w:proofErr w:type="spellEnd"/>
      <w:r w:rsidR="00A520C3" w:rsidRPr="00A520C3">
        <w:rPr>
          <w:rFonts w:ascii="Times New Roman" w:eastAsia="Times New Roman" w:hAnsi="Times New Roman" w:cs="Times New Roman"/>
          <w:sz w:val="24"/>
          <w:szCs w:val="24"/>
        </w:rPr>
        <w:t>/ml</w:t>
      </w:r>
      <w:r w:rsidR="00A520C3">
        <w:rPr>
          <w:rFonts w:asciiTheme="majorBidi" w:hAnsiTheme="majorBidi" w:cstheme="majorBidi"/>
          <w:lang w:bidi="ar-EG"/>
        </w:rPr>
        <w:t>, in MPE</w:t>
      </w:r>
      <w:r w:rsidR="005B7D2D" w:rsidRPr="005B7D2D">
        <w:rPr>
          <w:rFonts w:asciiTheme="majorBidi" w:hAnsiTheme="majorBidi" w:cstheme="majorBidi"/>
          <w:highlight w:val="yellow"/>
          <w:lang w:bidi="ar-EG"/>
        </w:rPr>
        <w:t>(n=20)</w:t>
      </w:r>
      <w:r w:rsidR="005B7D2D">
        <w:rPr>
          <w:rFonts w:asciiTheme="majorBidi" w:hAnsiTheme="majorBidi" w:cstheme="majorBidi"/>
          <w:lang w:bidi="ar-EG"/>
        </w:rPr>
        <w:t xml:space="preserve"> </w:t>
      </w:r>
      <w:r w:rsidR="00A520C3">
        <w:rPr>
          <w:rFonts w:asciiTheme="majorBidi" w:hAnsiTheme="majorBidi" w:cstheme="majorBidi"/>
          <w:lang w:bidi="ar-EG"/>
        </w:rPr>
        <w:t xml:space="preserve">was </w:t>
      </w:r>
      <w:r w:rsidR="00A520C3" w:rsidRPr="009D1D0D">
        <w:rPr>
          <w:rFonts w:ascii="Times New Roman" w:eastAsia="Times New Roman" w:hAnsi="Times New Roman" w:cs="Times New Roman"/>
          <w:sz w:val="24"/>
          <w:szCs w:val="24"/>
        </w:rPr>
        <w:t>158.22</w:t>
      </w:r>
      <w:r w:rsidR="00A520C3" w:rsidRPr="00A520C3">
        <w:rPr>
          <w:rFonts w:asciiTheme="majorBidi" w:hAnsiTheme="majorBidi" w:cstheme="majorBidi"/>
          <w:lang w:bidi="ar-EG"/>
        </w:rPr>
        <w:t xml:space="preserve"> </w:t>
      </w:r>
      <w:proofErr w:type="spellStart"/>
      <w:r w:rsidR="00A520C3" w:rsidRPr="00A520C3">
        <w:rPr>
          <w:rFonts w:ascii="Times New Roman" w:eastAsia="Times New Roman" w:hAnsi="Times New Roman" w:cs="Times New Roman"/>
          <w:sz w:val="24"/>
          <w:szCs w:val="24"/>
        </w:rPr>
        <w:t>pg</w:t>
      </w:r>
      <w:proofErr w:type="spellEnd"/>
      <w:r w:rsidR="00A520C3" w:rsidRPr="00A520C3">
        <w:rPr>
          <w:rFonts w:ascii="Times New Roman" w:eastAsia="Times New Roman" w:hAnsi="Times New Roman" w:cs="Times New Roman"/>
          <w:sz w:val="24"/>
          <w:szCs w:val="24"/>
        </w:rPr>
        <w:t>/ml</w:t>
      </w:r>
      <w:r w:rsidR="00A520C3">
        <w:rPr>
          <w:rFonts w:ascii="Times New Roman" w:eastAsia="Times New Roman" w:hAnsi="Times New Roman" w:cs="Times New Roman"/>
          <w:sz w:val="24"/>
          <w:szCs w:val="24"/>
        </w:rPr>
        <w:t xml:space="preserve">, in </w:t>
      </w:r>
      <w:r w:rsidR="00A520C3">
        <w:rPr>
          <w:rFonts w:ascii="Times New Roman" w:eastAsia="Times New Roman" w:hAnsi="Times New Roman" w:cs="Times New Roman"/>
          <w:sz w:val="24"/>
          <w:szCs w:val="24"/>
        </w:rPr>
        <w:lastRenderedPageBreak/>
        <w:t>UPPE</w:t>
      </w:r>
      <w:r w:rsidR="005B7D2D" w:rsidRPr="005B7D2D">
        <w:rPr>
          <w:rFonts w:asciiTheme="majorBidi" w:hAnsiTheme="majorBidi" w:cstheme="majorBidi"/>
          <w:highlight w:val="yellow"/>
          <w:lang w:bidi="ar-EG"/>
        </w:rPr>
        <w:t>(n=</w:t>
      </w:r>
      <w:proofErr w:type="gramStart"/>
      <w:r w:rsidR="005B7D2D" w:rsidRPr="005B7D2D">
        <w:rPr>
          <w:rFonts w:asciiTheme="majorBidi" w:hAnsiTheme="majorBidi" w:cstheme="majorBidi"/>
          <w:highlight w:val="yellow"/>
          <w:lang w:bidi="ar-EG"/>
        </w:rPr>
        <w:t>20)</w:t>
      </w:r>
      <w:r w:rsidR="00A520C3">
        <w:rPr>
          <w:rFonts w:ascii="Times New Roman" w:eastAsia="Times New Roman" w:hAnsi="Times New Roman" w:cs="Times New Roman"/>
          <w:sz w:val="24"/>
          <w:szCs w:val="24"/>
        </w:rPr>
        <w:t>was</w:t>
      </w:r>
      <w:proofErr w:type="gramEnd"/>
      <w:r w:rsidR="00A520C3">
        <w:rPr>
          <w:rFonts w:ascii="Times New Roman" w:eastAsia="Times New Roman" w:hAnsi="Times New Roman" w:cs="Times New Roman"/>
          <w:sz w:val="24"/>
          <w:szCs w:val="24"/>
        </w:rPr>
        <w:t xml:space="preserve"> </w:t>
      </w:r>
      <w:r w:rsidR="00A520C3" w:rsidRPr="009D1D0D">
        <w:rPr>
          <w:rFonts w:ascii="Times New Roman" w:eastAsia="Times New Roman" w:hAnsi="Times New Roman" w:cs="Times New Roman"/>
          <w:sz w:val="24"/>
          <w:szCs w:val="24"/>
        </w:rPr>
        <w:t>327.11</w:t>
      </w:r>
      <w:r w:rsidR="00A520C3">
        <w:rPr>
          <w:rFonts w:ascii="Times New Roman" w:eastAsia="Times New Roman" w:hAnsi="Times New Roman" w:cs="Times New Roman"/>
          <w:sz w:val="24"/>
          <w:szCs w:val="24"/>
        </w:rPr>
        <w:t xml:space="preserve"> </w:t>
      </w:r>
      <w:proofErr w:type="spellStart"/>
      <w:r w:rsidR="00A520C3" w:rsidRPr="00A520C3">
        <w:rPr>
          <w:rFonts w:ascii="Times New Roman" w:eastAsia="Times New Roman" w:hAnsi="Times New Roman" w:cs="Times New Roman"/>
          <w:sz w:val="24"/>
          <w:szCs w:val="24"/>
        </w:rPr>
        <w:t>pg</w:t>
      </w:r>
      <w:proofErr w:type="spellEnd"/>
      <w:r w:rsidR="00A520C3" w:rsidRPr="00A520C3">
        <w:rPr>
          <w:rFonts w:ascii="Times New Roman" w:eastAsia="Times New Roman" w:hAnsi="Times New Roman" w:cs="Times New Roman"/>
          <w:sz w:val="24"/>
          <w:szCs w:val="24"/>
        </w:rPr>
        <w:t>/ml</w:t>
      </w:r>
      <w:r w:rsidR="00A520C3">
        <w:rPr>
          <w:rFonts w:ascii="Times New Roman" w:eastAsia="Times New Roman" w:hAnsi="Times New Roman" w:cs="Times New Roman"/>
          <w:sz w:val="24"/>
          <w:szCs w:val="24"/>
        </w:rPr>
        <w:t xml:space="preserve">, finally it was </w:t>
      </w:r>
      <w:r w:rsidR="00A520C3" w:rsidRPr="009D1D0D">
        <w:rPr>
          <w:rFonts w:ascii="Times New Roman" w:eastAsia="Times New Roman" w:hAnsi="Times New Roman" w:cs="Times New Roman"/>
          <w:sz w:val="24"/>
          <w:szCs w:val="24"/>
        </w:rPr>
        <w:t>2920.30</w:t>
      </w:r>
      <w:r w:rsidR="00A520C3" w:rsidRPr="00AD4EA0">
        <w:rPr>
          <w:rFonts w:asciiTheme="majorBidi" w:hAnsiTheme="majorBidi" w:cstheme="majorBidi"/>
          <w:lang w:bidi="ar-EG"/>
        </w:rPr>
        <w:t xml:space="preserve"> </w:t>
      </w:r>
      <w:proofErr w:type="spellStart"/>
      <w:r w:rsidR="00A520C3" w:rsidRPr="00A520C3">
        <w:rPr>
          <w:rFonts w:ascii="Times New Roman" w:eastAsia="Times New Roman" w:hAnsi="Times New Roman" w:cs="Times New Roman"/>
          <w:sz w:val="24"/>
          <w:szCs w:val="24"/>
        </w:rPr>
        <w:t>pg</w:t>
      </w:r>
      <w:proofErr w:type="spellEnd"/>
      <w:r w:rsidR="00A520C3" w:rsidRPr="00A520C3">
        <w:rPr>
          <w:rFonts w:ascii="Times New Roman" w:eastAsia="Times New Roman" w:hAnsi="Times New Roman" w:cs="Times New Roman"/>
          <w:sz w:val="24"/>
          <w:szCs w:val="24"/>
        </w:rPr>
        <w:t>/ml</w:t>
      </w:r>
      <w:r w:rsidR="00A520C3" w:rsidRPr="00AD4EA0">
        <w:rPr>
          <w:rFonts w:asciiTheme="majorBidi" w:hAnsiTheme="majorBidi" w:cstheme="majorBidi"/>
          <w:lang w:bidi="ar-EG"/>
        </w:rPr>
        <w:t xml:space="preserve"> </w:t>
      </w:r>
      <w:r w:rsidR="00A520C3">
        <w:rPr>
          <w:rFonts w:asciiTheme="majorBidi" w:hAnsiTheme="majorBidi" w:cstheme="majorBidi"/>
          <w:lang w:bidi="ar-EG"/>
        </w:rPr>
        <w:t>in CPPE group</w:t>
      </w:r>
      <w:r w:rsidR="005B7D2D" w:rsidRPr="005B7D2D">
        <w:rPr>
          <w:rFonts w:asciiTheme="majorBidi" w:hAnsiTheme="majorBidi" w:cstheme="majorBidi"/>
          <w:highlight w:val="yellow"/>
          <w:lang w:bidi="ar-EG"/>
        </w:rPr>
        <w:t>(n=20)</w:t>
      </w:r>
      <w:r w:rsidR="00A520C3">
        <w:rPr>
          <w:rFonts w:asciiTheme="majorBidi" w:hAnsiTheme="majorBidi" w:cstheme="majorBidi"/>
          <w:lang w:bidi="ar-EG"/>
        </w:rPr>
        <w:t xml:space="preserve">. </w:t>
      </w:r>
      <w:proofErr w:type="spellStart"/>
      <w:r w:rsidR="005B7D2D" w:rsidRPr="005B7D2D">
        <w:rPr>
          <w:rFonts w:asciiTheme="majorBidi" w:hAnsiTheme="majorBidi" w:cstheme="majorBidi"/>
          <w:highlight w:val="yellow"/>
          <w:lang w:bidi="ar-EG"/>
        </w:rPr>
        <w:t>Kruskall</w:t>
      </w:r>
      <w:proofErr w:type="spellEnd"/>
      <w:r w:rsidR="005B7D2D" w:rsidRPr="005B7D2D">
        <w:rPr>
          <w:rFonts w:asciiTheme="majorBidi" w:hAnsiTheme="majorBidi" w:cstheme="majorBidi"/>
          <w:highlight w:val="yellow"/>
          <w:lang w:bidi="ar-EG"/>
        </w:rPr>
        <w:t xml:space="preserve"> Wallis comparison demonstrated that</w:t>
      </w:r>
      <w:r w:rsidR="005B7D2D">
        <w:rPr>
          <w:rFonts w:asciiTheme="majorBidi" w:hAnsiTheme="majorBidi" w:cstheme="majorBidi"/>
          <w:lang w:bidi="ar-EG"/>
        </w:rPr>
        <w:t xml:space="preserve"> t</w:t>
      </w:r>
      <w:r w:rsidR="005B7D2D" w:rsidRPr="00AD4EA0">
        <w:rPr>
          <w:rFonts w:asciiTheme="majorBidi" w:hAnsiTheme="majorBidi" w:cstheme="majorBidi"/>
          <w:lang w:bidi="ar-EG"/>
        </w:rPr>
        <w:t xml:space="preserve">here </w:t>
      </w:r>
      <w:r w:rsidR="00BE246B" w:rsidRPr="00AD4EA0">
        <w:rPr>
          <w:rFonts w:asciiTheme="majorBidi" w:hAnsiTheme="majorBidi" w:cstheme="majorBidi"/>
          <w:lang w:bidi="ar-EG"/>
        </w:rPr>
        <w:t xml:space="preserve">was a highly significant difference (p &lt;0.001) in IL-36γ </w:t>
      </w:r>
      <w:r>
        <w:rPr>
          <w:rFonts w:asciiTheme="majorBidi" w:hAnsiTheme="majorBidi" w:cstheme="majorBidi"/>
          <w:lang w:bidi="ar-EG"/>
        </w:rPr>
        <w:t>across the various study groups</w:t>
      </w:r>
      <w:r w:rsidR="00BE246B" w:rsidRPr="00AD4EA0">
        <w:rPr>
          <w:rFonts w:asciiTheme="majorBidi" w:hAnsiTheme="majorBidi" w:cstheme="majorBidi"/>
          <w:lang w:bidi="ar-EG"/>
        </w:rPr>
        <w:t xml:space="preserve"> </w:t>
      </w:r>
      <w:r w:rsidRPr="00FC1226">
        <w:rPr>
          <w:rFonts w:asciiTheme="majorBidi" w:hAnsiTheme="majorBidi" w:cstheme="majorBidi"/>
          <w:b/>
          <w:bCs/>
          <w:lang w:bidi="ar-EG"/>
        </w:rPr>
        <w:t>(</w:t>
      </w:r>
      <w:r>
        <w:rPr>
          <w:rFonts w:asciiTheme="majorBidi" w:hAnsiTheme="majorBidi" w:cstheme="majorBidi"/>
          <w:b/>
          <w:bCs/>
          <w:lang w:bidi="ar-EG"/>
        </w:rPr>
        <w:t xml:space="preserve">Table </w:t>
      </w:r>
      <w:r w:rsidRPr="00AD4EA0">
        <w:rPr>
          <w:rFonts w:asciiTheme="majorBidi" w:hAnsiTheme="majorBidi" w:cstheme="majorBidi"/>
          <w:b/>
          <w:bCs/>
          <w:lang w:bidi="ar-EG"/>
        </w:rPr>
        <w:t>2)</w:t>
      </w:r>
      <w:r>
        <w:rPr>
          <w:rFonts w:asciiTheme="majorBidi" w:hAnsiTheme="majorBidi" w:cstheme="majorBidi"/>
          <w:b/>
          <w:bCs/>
          <w:lang w:bidi="ar-EG"/>
        </w:rPr>
        <w:t>.</w:t>
      </w:r>
    </w:p>
    <w:p w:rsidR="00BE246B" w:rsidRPr="00AD4EA0" w:rsidRDefault="00FC1226" w:rsidP="00FC1226">
      <w:pPr>
        <w:spacing w:line="240" w:lineRule="auto"/>
        <w:jc w:val="both"/>
        <w:rPr>
          <w:rFonts w:asciiTheme="majorBidi" w:hAnsiTheme="majorBidi" w:cstheme="majorBidi"/>
          <w:lang w:bidi="ar-EG"/>
        </w:rPr>
      </w:pPr>
      <w:r>
        <w:rPr>
          <w:rFonts w:asciiTheme="majorBidi" w:hAnsiTheme="majorBidi" w:cstheme="majorBidi"/>
          <w:lang w:bidi="ar-EG"/>
        </w:rPr>
        <w:t>The</w:t>
      </w:r>
      <w:r w:rsidR="00BE246B" w:rsidRPr="00AD4EA0">
        <w:rPr>
          <w:rFonts w:asciiTheme="majorBidi" w:hAnsiTheme="majorBidi" w:cstheme="majorBidi"/>
          <w:lang w:bidi="ar-EG"/>
        </w:rPr>
        <w:t xml:space="preserve"> IL-36γ in infectious and non-infectious pleural effusions differed significantly</w:t>
      </w:r>
      <w:r w:rsidR="005B7D2D">
        <w:rPr>
          <w:rFonts w:asciiTheme="majorBidi" w:hAnsiTheme="majorBidi" w:cstheme="majorBidi"/>
          <w:lang w:bidi="ar-EG"/>
        </w:rPr>
        <w:t xml:space="preserve"> </w:t>
      </w:r>
      <w:r w:rsidR="005B7D2D" w:rsidRPr="005B7D2D">
        <w:rPr>
          <w:rFonts w:asciiTheme="majorBidi" w:hAnsiTheme="majorBidi" w:cstheme="majorBidi"/>
          <w:highlight w:val="yellow"/>
          <w:lang w:bidi="ar-EG"/>
        </w:rPr>
        <w:t>using</w:t>
      </w:r>
      <w:r w:rsidR="005B7D2D">
        <w:rPr>
          <w:rFonts w:asciiTheme="majorBidi" w:hAnsiTheme="majorBidi" w:cstheme="majorBidi"/>
          <w:lang w:bidi="ar-EG"/>
        </w:rPr>
        <w:t xml:space="preserve"> </w:t>
      </w:r>
      <w:r w:rsidR="005B7D2D" w:rsidRPr="005B39B7">
        <w:rPr>
          <w:rFonts w:asciiTheme="majorBidi" w:hAnsiTheme="majorBidi" w:cstheme="majorBidi"/>
          <w:highlight w:val="yellow"/>
          <w:lang w:bidi="ar-EG"/>
        </w:rPr>
        <w:t>Mann Whitney test</w:t>
      </w:r>
      <w:r w:rsidR="00BE246B" w:rsidRPr="00AD4EA0">
        <w:rPr>
          <w:rFonts w:asciiTheme="majorBidi" w:hAnsiTheme="majorBidi" w:cstheme="majorBidi"/>
          <w:lang w:bidi="ar-EG"/>
        </w:rPr>
        <w:t xml:space="preserve"> (p &lt;0.001). Pleural IL36 γ</w:t>
      </w:r>
      <w:r w:rsidR="002C21CD">
        <w:rPr>
          <w:rFonts w:asciiTheme="majorBidi" w:hAnsiTheme="majorBidi" w:cstheme="majorBidi"/>
          <w:lang w:bidi="ar-EG"/>
        </w:rPr>
        <w:t xml:space="preserve"> </w:t>
      </w:r>
      <w:r w:rsidR="002C21CD" w:rsidRPr="002C21CD">
        <w:rPr>
          <w:rFonts w:asciiTheme="majorBidi" w:hAnsiTheme="majorBidi" w:cstheme="majorBidi"/>
          <w:highlight w:val="yellow"/>
          <w:lang w:bidi="ar-EG"/>
        </w:rPr>
        <w:t>median value</w:t>
      </w:r>
      <w:r w:rsidR="00BE246B" w:rsidRPr="00AD4EA0">
        <w:rPr>
          <w:rFonts w:asciiTheme="majorBidi" w:hAnsiTheme="majorBidi" w:cstheme="majorBidi"/>
          <w:lang w:bidi="ar-EG"/>
        </w:rPr>
        <w:t xml:space="preserve"> was higher in infectious pleural effusions</w:t>
      </w:r>
      <w:r w:rsidR="005B7D2D" w:rsidRPr="005B7D2D">
        <w:rPr>
          <w:rFonts w:asciiTheme="majorBidi" w:hAnsiTheme="majorBidi" w:cstheme="majorBidi"/>
          <w:highlight w:val="yellow"/>
          <w:lang w:bidi="ar-EG"/>
        </w:rPr>
        <w:t>(n=</w:t>
      </w:r>
      <w:r w:rsidR="005B7D2D">
        <w:rPr>
          <w:rFonts w:asciiTheme="majorBidi" w:hAnsiTheme="majorBidi" w:cstheme="majorBidi"/>
          <w:highlight w:val="yellow"/>
          <w:lang w:bidi="ar-EG"/>
        </w:rPr>
        <w:t>6</w:t>
      </w:r>
      <w:r w:rsidR="005B7D2D" w:rsidRPr="005B7D2D">
        <w:rPr>
          <w:rFonts w:asciiTheme="majorBidi" w:hAnsiTheme="majorBidi" w:cstheme="majorBidi"/>
          <w:highlight w:val="yellow"/>
          <w:lang w:bidi="ar-EG"/>
        </w:rPr>
        <w:t>0)</w:t>
      </w:r>
      <w:r w:rsidR="005B7D2D">
        <w:rPr>
          <w:rFonts w:asciiTheme="majorBidi" w:hAnsiTheme="majorBidi" w:cstheme="majorBidi"/>
          <w:lang w:bidi="ar-EG"/>
        </w:rPr>
        <w:t xml:space="preserve"> </w:t>
      </w:r>
      <w:r w:rsidR="00EB1574" w:rsidRPr="00AD4EA0">
        <w:rPr>
          <w:rFonts w:asciiTheme="majorBidi" w:hAnsiTheme="majorBidi" w:cstheme="majorBidi"/>
          <w:lang w:bidi="ar-EG"/>
        </w:rPr>
        <w:t>(</w:t>
      </w:r>
      <w:r w:rsidR="00EB1574" w:rsidRPr="00AD4EA0">
        <w:rPr>
          <w:rFonts w:asciiTheme="majorBidi" w:eastAsia="Times New Roman" w:hAnsiTheme="majorBidi" w:cstheme="majorBidi"/>
        </w:rPr>
        <w:t xml:space="preserve">774.89 </w:t>
      </w:r>
      <w:proofErr w:type="spellStart"/>
      <w:r w:rsidR="00EB1574" w:rsidRPr="00AD4EA0">
        <w:rPr>
          <w:rFonts w:asciiTheme="majorBidi" w:eastAsia="Times New Roman" w:hAnsiTheme="majorBidi" w:cstheme="majorBidi"/>
        </w:rPr>
        <w:t>pg</w:t>
      </w:r>
      <w:proofErr w:type="spellEnd"/>
      <w:r w:rsidR="00EB1574" w:rsidRPr="00AD4EA0">
        <w:rPr>
          <w:rFonts w:asciiTheme="majorBidi" w:eastAsia="Times New Roman" w:hAnsiTheme="majorBidi" w:cstheme="majorBidi"/>
        </w:rPr>
        <w:t>/ml)</w:t>
      </w:r>
      <w:r w:rsidR="00BE246B" w:rsidRPr="00AD4EA0">
        <w:rPr>
          <w:rFonts w:asciiTheme="majorBidi" w:hAnsiTheme="majorBidi" w:cstheme="majorBidi"/>
          <w:lang w:bidi="ar-EG"/>
        </w:rPr>
        <w:t xml:space="preserve"> than in noninfectious ones</w:t>
      </w:r>
      <w:r w:rsidR="005B7D2D" w:rsidRPr="005B7D2D">
        <w:rPr>
          <w:rFonts w:asciiTheme="majorBidi" w:hAnsiTheme="majorBidi" w:cstheme="majorBidi"/>
          <w:highlight w:val="yellow"/>
          <w:lang w:bidi="ar-EG"/>
        </w:rPr>
        <w:t>(n=</w:t>
      </w:r>
      <w:r w:rsidR="005B7D2D">
        <w:rPr>
          <w:rFonts w:asciiTheme="majorBidi" w:hAnsiTheme="majorBidi" w:cstheme="majorBidi"/>
          <w:highlight w:val="yellow"/>
          <w:lang w:bidi="ar-EG"/>
        </w:rPr>
        <w:t>4</w:t>
      </w:r>
      <w:r w:rsidR="005B7D2D" w:rsidRPr="005B7D2D">
        <w:rPr>
          <w:rFonts w:asciiTheme="majorBidi" w:hAnsiTheme="majorBidi" w:cstheme="majorBidi"/>
          <w:highlight w:val="yellow"/>
          <w:lang w:bidi="ar-EG"/>
        </w:rPr>
        <w:t>0)</w:t>
      </w:r>
      <w:r w:rsidR="005B7D2D">
        <w:rPr>
          <w:rFonts w:asciiTheme="majorBidi" w:hAnsiTheme="majorBidi" w:cstheme="majorBidi"/>
          <w:lang w:bidi="ar-EG"/>
        </w:rPr>
        <w:t xml:space="preserve"> </w:t>
      </w:r>
      <w:r w:rsidR="00EB1574" w:rsidRPr="00AD4EA0">
        <w:rPr>
          <w:rFonts w:asciiTheme="majorBidi" w:hAnsiTheme="majorBidi" w:cstheme="majorBidi"/>
          <w:lang w:bidi="ar-EG"/>
        </w:rPr>
        <w:t>(</w:t>
      </w:r>
      <w:r w:rsidR="00EB1574" w:rsidRPr="00AD4EA0">
        <w:rPr>
          <w:rFonts w:asciiTheme="majorBidi" w:eastAsia="Times New Roman" w:hAnsiTheme="majorBidi" w:cstheme="majorBidi"/>
        </w:rPr>
        <w:t xml:space="preserve">122 </w:t>
      </w:r>
      <w:proofErr w:type="spellStart"/>
      <w:r w:rsidR="00EB1574" w:rsidRPr="00AD4EA0">
        <w:rPr>
          <w:rFonts w:asciiTheme="majorBidi" w:eastAsia="Times New Roman" w:hAnsiTheme="majorBidi" w:cstheme="majorBidi"/>
        </w:rPr>
        <w:t>pg</w:t>
      </w:r>
      <w:proofErr w:type="spellEnd"/>
      <w:r w:rsidR="00EB1574" w:rsidRPr="00AD4EA0">
        <w:rPr>
          <w:rFonts w:asciiTheme="majorBidi" w:eastAsia="Times New Roman" w:hAnsiTheme="majorBidi" w:cstheme="majorBidi"/>
        </w:rPr>
        <w:t>/ml)</w:t>
      </w:r>
      <w:r w:rsidRPr="00FC1226">
        <w:rPr>
          <w:rFonts w:asciiTheme="majorBidi" w:hAnsiTheme="majorBidi" w:cstheme="majorBidi"/>
          <w:b/>
          <w:bCs/>
          <w:lang w:bidi="ar-EG"/>
        </w:rPr>
        <w:t xml:space="preserve"> </w:t>
      </w:r>
      <w:r w:rsidRPr="00AD4EA0">
        <w:rPr>
          <w:rFonts w:asciiTheme="majorBidi" w:hAnsiTheme="majorBidi" w:cstheme="majorBidi"/>
          <w:b/>
          <w:bCs/>
          <w:lang w:bidi="ar-EG"/>
        </w:rPr>
        <w:t>(Table 3)</w:t>
      </w:r>
      <w:r>
        <w:rPr>
          <w:rFonts w:asciiTheme="majorBidi" w:hAnsiTheme="majorBidi" w:cstheme="majorBidi"/>
          <w:b/>
          <w:bCs/>
          <w:lang w:bidi="ar-EG"/>
        </w:rPr>
        <w:t>.</w:t>
      </w:r>
      <w:r w:rsidR="00503E95">
        <w:rPr>
          <w:rFonts w:asciiTheme="majorBidi" w:hAnsiTheme="majorBidi" w:cstheme="majorBidi"/>
          <w:lang w:bidi="ar-EG"/>
        </w:rPr>
        <w:t xml:space="preserve"> </w:t>
      </w:r>
    </w:p>
    <w:p w:rsidR="00BE246B" w:rsidRPr="00FE4BC1" w:rsidRDefault="00142A74" w:rsidP="00FE7A96">
      <w:pPr>
        <w:jc w:val="both"/>
        <w:rPr>
          <w:rFonts w:asciiTheme="majorBidi" w:hAnsiTheme="majorBidi" w:cstheme="majorBidi"/>
          <w:color w:val="FF0000"/>
        </w:rPr>
      </w:pPr>
      <w:r w:rsidRPr="00FE4BC1">
        <w:rPr>
          <w:rFonts w:asciiTheme="majorBidi" w:hAnsiTheme="majorBidi" w:cstheme="majorBidi"/>
          <w:color w:val="FF0000"/>
          <w:highlight w:val="yellow"/>
        </w:rPr>
        <w:t>Spearman correlation coefficient analysis</w:t>
      </w:r>
      <w:r w:rsidRPr="00FE4BC1">
        <w:rPr>
          <w:rFonts w:asciiTheme="majorBidi" w:hAnsiTheme="majorBidi" w:cstheme="majorBidi"/>
          <w:color w:val="FF0000"/>
        </w:rPr>
        <w:t xml:space="preserve">  </w:t>
      </w:r>
      <w:r w:rsidR="00BE246B" w:rsidRPr="00FE4BC1">
        <w:rPr>
          <w:rFonts w:asciiTheme="majorBidi" w:hAnsiTheme="majorBidi" w:cstheme="majorBidi"/>
          <w:color w:val="FF0000"/>
          <w:lang w:bidi="ar-EG"/>
        </w:rPr>
        <w:t xml:space="preserve"> demonstrated that</w:t>
      </w:r>
      <w:r w:rsidR="00E80949" w:rsidRPr="00FE4BC1">
        <w:rPr>
          <w:rFonts w:asciiTheme="majorBidi" w:hAnsiTheme="majorBidi" w:cstheme="majorBidi"/>
          <w:color w:val="FF0000"/>
          <w:lang w:bidi="ar-EG"/>
        </w:rPr>
        <w:t xml:space="preserve"> </w:t>
      </w:r>
      <w:r w:rsidR="001F6A7E" w:rsidRPr="00FE4BC1">
        <w:rPr>
          <w:rFonts w:asciiTheme="majorBidi" w:hAnsiTheme="majorBidi" w:cstheme="majorBidi"/>
          <w:color w:val="FF0000"/>
          <w:lang w:bidi="ar-EG"/>
        </w:rPr>
        <w:t xml:space="preserve">in infectious group, </w:t>
      </w:r>
      <w:r w:rsidR="00BE246B" w:rsidRPr="00FE4BC1">
        <w:rPr>
          <w:rFonts w:asciiTheme="majorBidi" w:hAnsiTheme="majorBidi" w:cstheme="majorBidi"/>
          <w:color w:val="FF0000"/>
          <w:lang w:bidi="ar-EG"/>
        </w:rPr>
        <w:t>pleural ADA</w:t>
      </w:r>
      <w:r w:rsidR="001C117D" w:rsidRPr="00FE4BC1">
        <w:rPr>
          <w:rFonts w:asciiTheme="majorBidi" w:hAnsiTheme="majorBidi" w:cstheme="majorBidi" w:hint="cs"/>
          <w:color w:val="FF0000"/>
          <w:rtl/>
          <w:lang w:bidi="ar-EG"/>
        </w:rPr>
        <w:t xml:space="preserve"> </w:t>
      </w:r>
      <w:r w:rsidR="001C117D" w:rsidRPr="00FE4BC1">
        <w:rPr>
          <w:rFonts w:asciiTheme="majorBidi" w:hAnsiTheme="majorBidi" w:cstheme="majorBidi"/>
          <w:color w:val="FF0000"/>
          <w:lang w:bidi="ar-EG"/>
        </w:rPr>
        <w:t>(</w:t>
      </w:r>
      <w:r w:rsidR="001C117D" w:rsidRPr="00FE4BC1">
        <w:rPr>
          <w:rFonts w:cs="Calibri"/>
          <w:color w:val="FF0000"/>
        </w:rPr>
        <w:t>ρ=</w:t>
      </w:r>
      <w:r w:rsidR="00FE7A96" w:rsidRPr="00FE4BC1">
        <w:rPr>
          <w:rFonts w:asciiTheme="majorBidi" w:eastAsia="Times New Roman" w:hAnsiTheme="majorBidi" w:cstheme="majorBidi"/>
          <w:color w:val="FF0000"/>
          <w:highlight w:val="yellow"/>
        </w:rPr>
        <w:t>0.781</w:t>
      </w:r>
      <w:r w:rsidR="001C117D" w:rsidRPr="00FE4BC1">
        <w:rPr>
          <w:rFonts w:asciiTheme="majorBidi" w:hAnsiTheme="majorBidi" w:cstheme="majorBidi"/>
          <w:color w:val="FF0000"/>
          <w:sz w:val="24"/>
          <w:szCs w:val="24"/>
        </w:rPr>
        <w:t xml:space="preserve">, </w:t>
      </w:r>
      <w:r w:rsidR="001C117D" w:rsidRPr="00FE4BC1">
        <w:rPr>
          <w:rFonts w:asciiTheme="majorBidi" w:hAnsiTheme="majorBidi" w:cstheme="majorBidi"/>
          <w:color w:val="FF0000"/>
          <w:lang w:bidi="ar-EG"/>
        </w:rPr>
        <w:t>p &lt;0.001</w:t>
      </w:r>
      <w:r w:rsidR="001C117D" w:rsidRPr="00FE4BC1">
        <w:rPr>
          <w:rFonts w:cs="Calibri"/>
          <w:color w:val="FF0000"/>
        </w:rPr>
        <w:t>)</w:t>
      </w:r>
      <w:r w:rsidR="001F6A7E" w:rsidRPr="00FE4BC1">
        <w:rPr>
          <w:rFonts w:asciiTheme="majorBidi" w:hAnsiTheme="majorBidi" w:cstheme="majorBidi"/>
          <w:color w:val="FF0000"/>
          <w:lang w:bidi="ar-EG"/>
        </w:rPr>
        <w:t xml:space="preserve"> </w:t>
      </w:r>
      <w:r w:rsidR="00244070" w:rsidRPr="00FE4BC1">
        <w:rPr>
          <w:rFonts w:asciiTheme="majorBidi" w:hAnsiTheme="majorBidi" w:cstheme="majorBidi"/>
          <w:color w:val="FF0000"/>
          <w:lang w:bidi="ar-EG"/>
        </w:rPr>
        <w:t>and pleural LDH (</w:t>
      </w:r>
      <w:r w:rsidR="00244070" w:rsidRPr="00FE4BC1">
        <w:rPr>
          <w:rFonts w:cs="Calibri"/>
          <w:color w:val="FF0000"/>
        </w:rPr>
        <w:t>ρ=</w:t>
      </w:r>
      <w:r w:rsidR="00244070" w:rsidRPr="00FE4BC1">
        <w:rPr>
          <w:rFonts w:asciiTheme="majorBidi" w:eastAsia="Times New Roman" w:hAnsiTheme="majorBidi" w:cstheme="majorBidi"/>
          <w:color w:val="FF0000"/>
        </w:rPr>
        <w:t>0.709</w:t>
      </w:r>
      <w:r w:rsidR="00244070" w:rsidRPr="00FE4BC1">
        <w:rPr>
          <w:rFonts w:asciiTheme="majorBidi" w:hAnsiTheme="majorBidi" w:cstheme="majorBidi"/>
          <w:color w:val="FF0000"/>
          <w:sz w:val="24"/>
          <w:szCs w:val="24"/>
        </w:rPr>
        <w:t xml:space="preserve">, </w:t>
      </w:r>
      <w:r w:rsidR="00244070" w:rsidRPr="00FE4BC1">
        <w:rPr>
          <w:rFonts w:asciiTheme="majorBidi" w:hAnsiTheme="majorBidi" w:cstheme="majorBidi"/>
          <w:color w:val="FF0000"/>
          <w:lang w:bidi="ar-EG"/>
        </w:rPr>
        <w:t xml:space="preserve">p </w:t>
      </w:r>
      <w:r w:rsidR="00244070" w:rsidRPr="00FE4BC1">
        <w:rPr>
          <w:rFonts w:asciiTheme="majorBidi" w:eastAsia="Times New Roman" w:hAnsiTheme="majorBidi" w:cstheme="majorBidi"/>
          <w:color w:val="FF0000"/>
        </w:rPr>
        <w:t>&lt;0.001</w:t>
      </w:r>
      <w:r w:rsidR="00244070" w:rsidRPr="00FE4BC1">
        <w:rPr>
          <w:rFonts w:cs="Calibri"/>
          <w:color w:val="FF0000"/>
        </w:rPr>
        <w:t xml:space="preserve">) </w:t>
      </w:r>
      <w:r w:rsidR="001F6A7E" w:rsidRPr="00FE4BC1">
        <w:rPr>
          <w:rFonts w:asciiTheme="majorBidi" w:hAnsiTheme="majorBidi" w:cstheme="majorBidi"/>
          <w:color w:val="FF0000"/>
          <w:lang w:bidi="ar-EG"/>
        </w:rPr>
        <w:t xml:space="preserve">had a highly significant positive </w:t>
      </w:r>
      <w:r w:rsidR="001F6A7E" w:rsidRPr="00FE4BC1">
        <w:rPr>
          <w:rFonts w:asciiTheme="majorBidi" w:hAnsiTheme="majorBidi" w:cstheme="majorBidi"/>
          <w:color w:val="FF0000"/>
          <w:highlight w:val="yellow"/>
        </w:rPr>
        <w:t>correlation</w:t>
      </w:r>
      <w:r w:rsidR="001F6A7E" w:rsidRPr="00FE4BC1">
        <w:rPr>
          <w:rFonts w:asciiTheme="majorBidi" w:hAnsiTheme="majorBidi" w:cstheme="majorBidi"/>
          <w:color w:val="FF0000"/>
          <w:lang w:bidi="ar-EG"/>
        </w:rPr>
        <w:t xml:space="preserve"> to pleural IL36 γ</w:t>
      </w:r>
      <w:r w:rsidR="00BE246B" w:rsidRPr="00FE4BC1">
        <w:rPr>
          <w:rFonts w:asciiTheme="majorBidi" w:hAnsiTheme="majorBidi" w:cstheme="majorBidi"/>
          <w:color w:val="FF0000"/>
          <w:lang w:bidi="ar-EG"/>
        </w:rPr>
        <w:t xml:space="preserve">, </w:t>
      </w:r>
      <w:r w:rsidR="00244070" w:rsidRPr="00FE4BC1">
        <w:rPr>
          <w:rFonts w:asciiTheme="majorBidi" w:hAnsiTheme="majorBidi" w:cstheme="majorBidi"/>
          <w:color w:val="FF0000"/>
          <w:lang w:bidi="ar-EG"/>
        </w:rPr>
        <w:t xml:space="preserve">while </w:t>
      </w:r>
      <w:r w:rsidR="00BE246B" w:rsidRPr="00FE4BC1">
        <w:rPr>
          <w:rFonts w:asciiTheme="majorBidi" w:hAnsiTheme="majorBidi" w:cstheme="majorBidi"/>
          <w:color w:val="FF0000"/>
          <w:lang w:bidi="ar-EG"/>
        </w:rPr>
        <w:t>tuberculin skin test</w:t>
      </w:r>
      <w:r w:rsidR="001C117D" w:rsidRPr="00FE4BC1">
        <w:rPr>
          <w:rFonts w:asciiTheme="majorBidi" w:hAnsiTheme="majorBidi" w:cstheme="majorBidi"/>
          <w:color w:val="FF0000"/>
          <w:lang w:bidi="ar-EG"/>
        </w:rPr>
        <w:t xml:space="preserve"> (</w:t>
      </w:r>
      <w:r w:rsidR="001C117D" w:rsidRPr="00FE4BC1">
        <w:rPr>
          <w:rFonts w:cs="Calibri"/>
          <w:color w:val="FF0000"/>
        </w:rPr>
        <w:t>ρ=</w:t>
      </w:r>
      <w:r w:rsidR="001F6A7E" w:rsidRPr="00FE4BC1">
        <w:rPr>
          <w:rFonts w:asciiTheme="majorBidi" w:eastAsia="Times New Roman" w:hAnsiTheme="majorBidi" w:cstheme="majorBidi"/>
          <w:color w:val="FF0000"/>
        </w:rPr>
        <w:t xml:space="preserve"> </w:t>
      </w:r>
      <w:r w:rsidR="001F6A7E" w:rsidRPr="00FE4BC1">
        <w:rPr>
          <w:rFonts w:asciiTheme="majorBidi" w:hAnsiTheme="majorBidi" w:cstheme="majorBidi"/>
          <w:color w:val="FF0000"/>
          <w:lang w:bidi="ar-EG"/>
        </w:rPr>
        <w:t>0.005</w:t>
      </w:r>
      <w:r w:rsidR="001C117D" w:rsidRPr="00FE4BC1">
        <w:rPr>
          <w:rFonts w:asciiTheme="majorBidi" w:hAnsiTheme="majorBidi" w:cstheme="majorBidi"/>
          <w:color w:val="FF0000"/>
          <w:lang w:bidi="ar-EG"/>
        </w:rPr>
        <w:t xml:space="preserve">, p </w:t>
      </w:r>
      <w:r w:rsidR="001F6A7E" w:rsidRPr="00FE4BC1">
        <w:rPr>
          <w:rFonts w:asciiTheme="majorBidi" w:hAnsiTheme="majorBidi" w:cstheme="majorBidi"/>
          <w:color w:val="FF0000"/>
          <w:lang w:bidi="ar-EG"/>
        </w:rPr>
        <w:t>=0.969</w:t>
      </w:r>
      <w:r w:rsidR="001C117D" w:rsidRPr="00FE4BC1">
        <w:rPr>
          <w:rFonts w:asciiTheme="majorBidi" w:hAnsiTheme="majorBidi" w:cstheme="majorBidi"/>
          <w:color w:val="FF0000"/>
          <w:lang w:bidi="ar-EG"/>
        </w:rPr>
        <w:t>)</w:t>
      </w:r>
      <w:r w:rsidR="001F6A7E" w:rsidRPr="00FE4BC1">
        <w:rPr>
          <w:rFonts w:asciiTheme="majorBidi" w:hAnsiTheme="majorBidi" w:cstheme="majorBidi"/>
          <w:color w:val="FF0000"/>
          <w:lang w:bidi="ar-EG"/>
        </w:rPr>
        <w:t xml:space="preserve"> had</w:t>
      </w:r>
      <w:r w:rsidR="001F6A7E" w:rsidRPr="00FE4BC1">
        <w:rPr>
          <w:rFonts w:cs="Calibri"/>
          <w:color w:val="FF0000"/>
        </w:rPr>
        <w:t xml:space="preserve"> </w:t>
      </w:r>
      <w:r w:rsidR="001F6A7E" w:rsidRPr="00FE4BC1">
        <w:rPr>
          <w:rFonts w:asciiTheme="majorBidi" w:hAnsiTheme="majorBidi" w:cstheme="majorBidi"/>
          <w:color w:val="FF0000"/>
          <w:lang w:bidi="ar-EG"/>
        </w:rPr>
        <w:t>very week correlation</w:t>
      </w:r>
      <w:r w:rsidR="001F6A7E" w:rsidRPr="00FE4BC1">
        <w:rPr>
          <w:rFonts w:cs="Calibri"/>
          <w:color w:val="FF0000"/>
        </w:rPr>
        <w:t xml:space="preserve"> </w:t>
      </w:r>
      <w:r w:rsidR="001F6A7E" w:rsidRPr="00FE4BC1">
        <w:rPr>
          <w:rFonts w:asciiTheme="majorBidi" w:hAnsiTheme="majorBidi" w:cstheme="majorBidi"/>
          <w:color w:val="FF0000"/>
          <w:lang w:bidi="ar-EG"/>
        </w:rPr>
        <w:t>to pleural IL36 γ</w:t>
      </w:r>
      <w:r w:rsidR="00244070" w:rsidRPr="00FE4BC1">
        <w:rPr>
          <w:rFonts w:asciiTheme="majorBidi" w:hAnsiTheme="majorBidi" w:cstheme="majorBidi"/>
          <w:color w:val="FF0000"/>
          <w:lang w:bidi="ar-EG"/>
        </w:rPr>
        <w:t xml:space="preserve">. However, in </w:t>
      </w:r>
      <w:proofErr w:type="spellStart"/>
      <w:r w:rsidR="00244070" w:rsidRPr="00FE4BC1">
        <w:rPr>
          <w:rFonts w:asciiTheme="majorBidi" w:hAnsiTheme="majorBidi" w:cstheme="majorBidi"/>
          <w:color w:val="FF0000"/>
          <w:lang w:bidi="ar-EG"/>
        </w:rPr>
        <w:t>non infectious</w:t>
      </w:r>
      <w:proofErr w:type="spellEnd"/>
      <w:r w:rsidR="00244070" w:rsidRPr="00FE4BC1">
        <w:rPr>
          <w:rFonts w:asciiTheme="majorBidi" w:hAnsiTheme="majorBidi" w:cstheme="majorBidi"/>
          <w:color w:val="FF0000"/>
          <w:lang w:bidi="ar-EG"/>
        </w:rPr>
        <w:t xml:space="preserve"> group pleural ADA</w:t>
      </w:r>
      <w:r w:rsidR="00244070" w:rsidRPr="00FE4BC1">
        <w:rPr>
          <w:rFonts w:asciiTheme="majorBidi" w:hAnsiTheme="majorBidi" w:cstheme="majorBidi" w:hint="cs"/>
          <w:color w:val="FF0000"/>
          <w:rtl/>
          <w:lang w:bidi="ar-EG"/>
        </w:rPr>
        <w:t xml:space="preserve"> </w:t>
      </w:r>
      <w:r w:rsidR="00244070" w:rsidRPr="00FE4BC1">
        <w:rPr>
          <w:rFonts w:asciiTheme="majorBidi" w:hAnsiTheme="majorBidi" w:cstheme="majorBidi"/>
          <w:color w:val="FF0000"/>
          <w:lang w:bidi="ar-EG"/>
        </w:rPr>
        <w:t>(</w:t>
      </w:r>
      <w:r w:rsidR="00244070" w:rsidRPr="00FE4BC1">
        <w:rPr>
          <w:rFonts w:cs="Calibri"/>
          <w:color w:val="FF0000"/>
        </w:rPr>
        <w:t>ρ=</w:t>
      </w:r>
      <w:r w:rsidR="00FE7A96" w:rsidRPr="00FE4BC1">
        <w:rPr>
          <w:rFonts w:asciiTheme="majorBidi" w:eastAsia="Times New Roman" w:hAnsiTheme="majorBidi" w:cstheme="majorBidi"/>
          <w:color w:val="FF0000"/>
          <w:highlight w:val="yellow"/>
        </w:rPr>
        <w:t>0.524</w:t>
      </w:r>
      <w:r w:rsidR="00244070" w:rsidRPr="00FE4BC1">
        <w:rPr>
          <w:rFonts w:asciiTheme="majorBidi" w:hAnsiTheme="majorBidi" w:cstheme="majorBidi"/>
          <w:color w:val="FF0000"/>
          <w:sz w:val="24"/>
          <w:szCs w:val="24"/>
        </w:rPr>
        <w:t xml:space="preserve">, </w:t>
      </w:r>
      <w:r w:rsidR="00244070" w:rsidRPr="00FE4BC1">
        <w:rPr>
          <w:rFonts w:asciiTheme="majorBidi" w:hAnsiTheme="majorBidi" w:cstheme="majorBidi"/>
          <w:color w:val="FF0000"/>
          <w:lang w:bidi="ar-EG"/>
        </w:rPr>
        <w:t>p &lt;0.001</w:t>
      </w:r>
      <w:r w:rsidR="00244070" w:rsidRPr="00FE4BC1">
        <w:rPr>
          <w:rFonts w:cs="Calibri"/>
          <w:color w:val="FF0000"/>
        </w:rPr>
        <w:t>)</w:t>
      </w:r>
      <w:r w:rsidR="00244070" w:rsidRPr="00FE4BC1">
        <w:rPr>
          <w:rFonts w:asciiTheme="majorBidi" w:hAnsiTheme="majorBidi" w:cstheme="majorBidi"/>
          <w:color w:val="FF0000"/>
          <w:lang w:bidi="ar-EG"/>
        </w:rPr>
        <w:t xml:space="preserve"> and pleural LDH (</w:t>
      </w:r>
      <w:r w:rsidR="00244070" w:rsidRPr="00FE4BC1">
        <w:rPr>
          <w:rFonts w:cs="Calibri"/>
          <w:color w:val="FF0000"/>
        </w:rPr>
        <w:t>ρ=</w:t>
      </w:r>
      <w:r w:rsidR="00244070" w:rsidRPr="00FE4BC1">
        <w:rPr>
          <w:rFonts w:asciiTheme="majorBidi" w:eastAsia="Times New Roman" w:hAnsiTheme="majorBidi" w:cstheme="majorBidi"/>
          <w:color w:val="FF0000"/>
        </w:rPr>
        <w:t>0.739</w:t>
      </w:r>
      <w:r w:rsidR="00244070" w:rsidRPr="00FE4BC1">
        <w:rPr>
          <w:rFonts w:asciiTheme="majorBidi" w:hAnsiTheme="majorBidi" w:cstheme="majorBidi"/>
          <w:color w:val="FF0000"/>
          <w:sz w:val="24"/>
          <w:szCs w:val="24"/>
        </w:rPr>
        <w:t xml:space="preserve">, </w:t>
      </w:r>
      <w:r w:rsidR="00244070" w:rsidRPr="00FE4BC1">
        <w:rPr>
          <w:rFonts w:asciiTheme="majorBidi" w:hAnsiTheme="majorBidi" w:cstheme="majorBidi"/>
          <w:color w:val="FF0000"/>
          <w:lang w:bidi="ar-EG"/>
        </w:rPr>
        <w:t xml:space="preserve">p </w:t>
      </w:r>
      <w:r w:rsidR="00244070" w:rsidRPr="00FE4BC1">
        <w:rPr>
          <w:rFonts w:asciiTheme="majorBidi" w:eastAsia="Times New Roman" w:hAnsiTheme="majorBidi" w:cstheme="majorBidi"/>
          <w:color w:val="FF0000"/>
        </w:rPr>
        <w:t>&lt;0.001</w:t>
      </w:r>
      <w:r w:rsidR="00244070" w:rsidRPr="00FE4BC1">
        <w:rPr>
          <w:rFonts w:cs="Calibri"/>
          <w:color w:val="FF0000"/>
        </w:rPr>
        <w:t xml:space="preserve">) </w:t>
      </w:r>
      <w:r w:rsidR="00244070" w:rsidRPr="00FE4BC1">
        <w:rPr>
          <w:rFonts w:asciiTheme="majorBidi" w:hAnsiTheme="majorBidi" w:cstheme="majorBidi"/>
          <w:color w:val="FF0000"/>
          <w:lang w:bidi="ar-EG"/>
        </w:rPr>
        <w:t xml:space="preserve">had a highly significant positive </w:t>
      </w:r>
      <w:r w:rsidR="00244070" w:rsidRPr="00FE4BC1">
        <w:rPr>
          <w:rFonts w:asciiTheme="majorBidi" w:hAnsiTheme="majorBidi" w:cstheme="majorBidi"/>
          <w:color w:val="FF0000"/>
          <w:highlight w:val="yellow"/>
        </w:rPr>
        <w:t>correlation</w:t>
      </w:r>
      <w:r w:rsidR="00244070" w:rsidRPr="00FE4BC1">
        <w:rPr>
          <w:rFonts w:asciiTheme="majorBidi" w:hAnsiTheme="majorBidi" w:cstheme="majorBidi"/>
          <w:color w:val="FF0000"/>
          <w:lang w:bidi="ar-EG"/>
        </w:rPr>
        <w:t xml:space="preserve"> to pleural IL36 γ </w:t>
      </w:r>
      <w:r w:rsidR="00FC1226" w:rsidRPr="00FE4BC1">
        <w:rPr>
          <w:rFonts w:asciiTheme="majorBidi" w:hAnsiTheme="majorBidi" w:cstheme="majorBidi"/>
          <w:b/>
          <w:bCs/>
          <w:color w:val="FF0000"/>
          <w:lang w:bidi="ar-EG"/>
        </w:rPr>
        <w:t>(Table 5).</w:t>
      </w:r>
    </w:p>
    <w:p w:rsidR="00372426" w:rsidRPr="004A30B5" w:rsidRDefault="00FC1226" w:rsidP="009C0561">
      <w:pPr>
        <w:spacing w:line="240" w:lineRule="auto"/>
        <w:jc w:val="both"/>
        <w:rPr>
          <w:rFonts w:asciiTheme="majorBidi" w:hAnsiTheme="majorBidi" w:cstheme="majorBidi"/>
          <w:color w:val="FF0000"/>
          <w:rtl/>
          <w:lang w:bidi="ar-EG"/>
        </w:rPr>
      </w:pPr>
      <w:r w:rsidRPr="004A30B5">
        <w:rPr>
          <w:rFonts w:asciiTheme="majorBidi" w:hAnsiTheme="majorBidi" w:cstheme="majorBidi"/>
          <w:color w:val="FF0000"/>
          <w:highlight w:val="yellow"/>
          <w:lang w:bidi="ar-EG"/>
        </w:rPr>
        <w:t>T</w:t>
      </w:r>
      <w:r w:rsidR="00BE246B" w:rsidRPr="004A30B5">
        <w:rPr>
          <w:rFonts w:asciiTheme="majorBidi" w:hAnsiTheme="majorBidi" w:cstheme="majorBidi"/>
          <w:color w:val="FF0000"/>
          <w:highlight w:val="yellow"/>
          <w:lang w:bidi="ar-EG"/>
        </w:rPr>
        <w:t xml:space="preserve">he diagnostic </w:t>
      </w:r>
      <w:r w:rsidR="00142A74" w:rsidRPr="004A30B5">
        <w:rPr>
          <w:rFonts w:asciiTheme="majorBidi" w:hAnsiTheme="majorBidi" w:cstheme="majorBidi"/>
          <w:color w:val="FF0000"/>
          <w:highlight w:val="yellow"/>
          <w:lang w:bidi="ar-EG"/>
        </w:rPr>
        <w:t>cutoff</w:t>
      </w:r>
      <w:r w:rsidR="002D2B89" w:rsidRPr="004A30B5">
        <w:rPr>
          <w:rFonts w:asciiTheme="majorBidi" w:hAnsiTheme="majorBidi" w:cstheme="majorBidi"/>
          <w:color w:val="FF0000"/>
          <w:highlight w:val="yellow"/>
          <w:lang w:bidi="ar-EG"/>
        </w:rPr>
        <w:t xml:space="preserve"> value for</w:t>
      </w:r>
      <w:r w:rsidR="00142A74" w:rsidRPr="004A30B5">
        <w:rPr>
          <w:rFonts w:asciiTheme="majorBidi" w:hAnsiTheme="majorBidi" w:cstheme="majorBidi"/>
          <w:color w:val="FF0000"/>
          <w:highlight w:val="yellow"/>
          <w:lang w:bidi="ar-EG"/>
        </w:rPr>
        <w:t xml:space="preserve"> diagnosing </w:t>
      </w:r>
      <w:r w:rsidR="00EE40C3" w:rsidRPr="004A30B5">
        <w:rPr>
          <w:rFonts w:asciiTheme="majorBidi" w:hAnsiTheme="majorBidi" w:cstheme="majorBidi"/>
          <w:color w:val="FF0000"/>
          <w:highlight w:val="yellow"/>
          <w:lang w:bidi="ar-EG"/>
        </w:rPr>
        <w:t>TPE</w:t>
      </w:r>
      <w:r w:rsidR="00142A74" w:rsidRPr="004A30B5">
        <w:rPr>
          <w:rFonts w:asciiTheme="majorBidi" w:hAnsiTheme="majorBidi" w:cstheme="majorBidi"/>
          <w:color w:val="FF0000"/>
          <w:highlight w:val="yellow"/>
          <w:lang w:bidi="ar-EG"/>
        </w:rPr>
        <w:t xml:space="preserve"> vs N</w:t>
      </w:r>
      <w:r w:rsidR="0007534D" w:rsidRPr="004A30B5">
        <w:rPr>
          <w:rFonts w:asciiTheme="majorBidi" w:hAnsiTheme="majorBidi" w:cstheme="majorBidi"/>
          <w:color w:val="FF0000"/>
          <w:highlight w:val="yellow"/>
          <w:lang w:bidi="ar-EG"/>
        </w:rPr>
        <w:t xml:space="preserve">on </w:t>
      </w:r>
      <w:r w:rsidR="00142A74" w:rsidRPr="004A30B5">
        <w:rPr>
          <w:rFonts w:asciiTheme="majorBidi" w:hAnsiTheme="majorBidi" w:cstheme="majorBidi"/>
          <w:color w:val="FF0000"/>
          <w:highlight w:val="yellow"/>
          <w:lang w:bidi="ar-EG"/>
        </w:rPr>
        <w:t xml:space="preserve">TPE </w:t>
      </w:r>
      <w:r w:rsidR="00EE40C3" w:rsidRPr="004A30B5">
        <w:rPr>
          <w:rFonts w:asciiTheme="majorBidi" w:hAnsiTheme="majorBidi" w:cstheme="majorBidi"/>
          <w:color w:val="FF0000"/>
          <w:highlight w:val="yellow"/>
          <w:lang w:bidi="ar-EG"/>
        </w:rPr>
        <w:t>wa</w:t>
      </w:r>
      <w:r w:rsidR="00BE246B" w:rsidRPr="004A30B5">
        <w:rPr>
          <w:rFonts w:asciiTheme="majorBidi" w:hAnsiTheme="majorBidi" w:cstheme="majorBidi"/>
          <w:color w:val="FF0000"/>
          <w:highlight w:val="yellow"/>
          <w:lang w:bidi="ar-EG"/>
        </w:rPr>
        <w:t>s ≥457.58 (p=0.001)</w:t>
      </w:r>
      <w:r w:rsidR="00AD4EA0" w:rsidRPr="004A30B5">
        <w:rPr>
          <w:rFonts w:asciiTheme="majorBidi" w:hAnsiTheme="majorBidi" w:cstheme="majorBidi"/>
          <w:color w:val="FF0000"/>
          <w:lang w:bidi="ar-EG"/>
        </w:rPr>
        <w:t>,</w:t>
      </w:r>
      <w:r w:rsidR="00EE40C3" w:rsidRPr="004A30B5">
        <w:rPr>
          <w:rFonts w:asciiTheme="majorBidi" w:hAnsiTheme="majorBidi" w:cstheme="majorBidi"/>
          <w:color w:val="FF0000"/>
          <w:lang w:bidi="ar-EG"/>
        </w:rPr>
        <w:t xml:space="preserve"> </w:t>
      </w:r>
      <w:r w:rsidR="00142A74" w:rsidRPr="004A30B5">
        <w:rPr>
          <w:rFonts w:asciiTheme="majorBidi" w:hAnsiTheme="majorBidi" w:cstheme="majorBidi"/>
          <w:color w:val="FF0000"/>
          <w:lang w:bidi="ar-EG"/>
        </w:rPr>
        <w:t xml:space="preserve">with 100% </w:t>
      </w:r>
      <w:r w:rsidR="00DB2201" w:rsidRPr="004A30B5">
        <w:rPr>
          <w:rFonts w:asciiTheme="majorBidi" w:hAnsiTheme="majorBidi" w:cstheme="majorBidi"/>
          <w:color w:val="FF0000"/>
          <w:lang w:bidi="ar-EG"/>
        </w:rPr>
        <w:t>sensitivity,</w:t>
      </w:r>
      <w:r w:rsidR="002D2B89" w:rsidRPr="004A30B5">
        <w:rPr>
          <w:rFonts w:asciiTheme="majorBidi" w:hAnsiTheme="majorBidi" w:cstheme="majorBidi"/>
          <w:color w:val="FF0000"/>
          <w:lang w:bidi="ar-EG"/>
        </w:rPr>
        <w:t xml:space="preserve"> 75% specificity</w:t>
      </w:r>
      <w:r w:rsidR="0007534D" w:rsidRPr="004A30B5">
        <w:rPr>
          <w:rFonts w:asciiTheme="majorBidi" w:hAnsiTheme="majorBidi" w:cstheme="majorBidi"/>
          <w:color w:val="FF0000"/>
          <w:lang w:bidi="ar-EG"/>
        </w:rPr>
        <w:t>,</w:t>
      </w:r>
      <w:r w:rsidR="00DB2201" w:rsidRPr="004A30B5">
        <w:rPr>
          <w:rFonts w:asciiTheme="majorBidi" w:hAnsiTheme="majorBidi" w:cstheme="majorBidi"/>
          <w:color w:val="FF0000"/>
          <w:lang w:bidi="ar-EG"/>
        </w:rPr>
        <w:t xml:space="preserve"> 95% CI</w:t>
      </w:r>
      <w:r w:rsidR="00DB2201" w:rsidRPr="004A30B5">
        <w:rPr>
          <w:rFonts w:asciiTheme="majorBidi" w:hAnsiTheme="majorBidi" w:cstheme="majorBidi"/>
          <w:color w:val="FF0000"/>
          <w:highlight w:val="yellow"/>
          <w:lang w:bidi="ar-EG"/>
        </w:rPr>
        <w:t>=</w:t>
      </w:r>
      <w:r w:rsidR="00DB2201" w:rsidRPr="004A30B5">
        <w:rPr>
          <w:rFonts w:asciiTheme="majorBidi" w:hAnsiTheme="majorBidi" w:cstheme="majorBidi"/>
          <w:color w:val="FF0000"/>
          <w:lang w:bidi="ar-EG"/>
        </w:rPr>
        <w:t xml:space="preserve"> </w:t>
      </w:r>
      <w:r w:rsidR="00DB2201" w:rsidRPr="004A30B5">
        <w:rPr>
          <w:rFonts w:asciiTheme="majorBidi" w:eastAsia="Times New Roman" w:hAnsiTheme="majorBidi" w:cstheme="majorBidi"/>
          <w:color w:val="FF0000"/>
        </w:rPr>
        <w:t xml:space="preserve">0.655- 0.845 and </w:t>
      </w:r>
      <w:r w:rsidR="00DB2201" w:rsidRPr="004A30B5">
        <w:rPr>
          <w:rFonts w:asciiTheme="majorBidi" w:hAnsiTheme="majorBidi" w:cstheme="majorBidi"/>
          <w:color w:val="FF0000"/>
          <w:highlight w:val="yellow"/>
          <w:lang w:bidi="ar-EG"/>
        </w:rPr>
        <w:t>AUC=</w:t>
      </w:r>
      <w:r w:rsidR="00DB2201" w:rsidRPr="004A30B5">
        <w:rPr>
          <w:rFonts w:asciiTheme="majorBidi" w:eastAsia="Times New Roman" w:hAnsiTheme="majorBidi" w:cstheme="majorBidi"/>
          <w:color w:val="FF0000"/>
        </w:rPr>
        <w:t>0.750</w:t>
      </w:r>
      <w:r w:rsidR="00D65ECA" w:rsidRPr="004A30B5">
        <w:rPr>
          <w:rFonts w:asciiTheme="majorBidi" w:eastAsia="Times New Roman" w:hAnsiTheme="majorBidi" w:cstheme="majorBidi"/>
          <w:color w:val="FF0000"/>
        </w:rPr>
        <w:t>,</w:t>
      </w:r>
      <w:r w:rsidR="002D2B89" w:rsidRPr="004A30B5">
        <w:rPr>
          <w:rFonts w:asciiTheme="majorBidi" w:hAnsiTheme="majorBidi" w:cstheme="majorBidi"/>
          <w:color w:val="FF0000"/>
          <w:lang w:bidi="ar-EG"/>
        </w:rPr>
        <w:t xml:space="preserve"> </w:t>
      </w:r>
      <w:r w:rsidR="00EE40C3" w:rsidRPr="004A30B5">
        <w:rPr>
          <w:rFonts w:asciiTheme="majorBidi" w:hAnsiTheme="majorBidi" w:cstheme="majorBidi"/>
          <w:color w:val="FF0000"/>
          <w:lang w:bidi="ar-EG"/>
        </w:rPr>
        <w:t xml:space="preserve">that of </w:t>
      </w:r>
      <w:r w:rsidR="00EE40C3" w:rsidRPr="004A30B5">
        <w:rPr>
          <w:rFonts w:asciiTheme="majorBidi" w:eastAsia="Times New Roman" w:hAnsiTheme="majorBidi" w:cstheme="majorBidi"/>
          <w:color w:val="FF0000"/>
        </w:rPr>
        <w:t xml:space="preserve">TPE vs UPPE was ≥391.09 with </w:t>
      </w:r>
      <w:r w:rsidR="00EE40C3" w:rsidRPr="004A30B5">
        <w:rPr>
          <w:rFonts w:asciiTheme="majorBidi" w:hAnsiTheme="majorBidi" w:cstheme="majorBidi"/>
          <w:color w:val="FF0000"/>
          <w:lang w:bidi="ar-EG"/>
        </w:rPr>
        <w:t>100% sensitivity and 95% specificity</w:t>
      </w:r>
      <w:r w:rsidR="00AD4EA0" w:rsidRPr="004A30B5">
        <w:rPr>
          <w:rFonts w:asciiTheme="majorBidi" w:hAnsiTheme="majorBidi" w:cstheme="majorBidi"/>
          <w:color w:val="FF0000"/>
          <w:lang w:bidi="ar-EG"/>
        </w:rPr>
        <w:t>,</w:t>
      </w:r>
      <w:r w:rsidR="00D65ECA" w:rsidRPr="004A30B5">
        <w:rPr>
          <w:rFonts w:asciiTheme="majorBidi" w:hAnsiTheme="majorBidi" w:cstheme="majorBidi"/>
          <w:color w:val="FF0000"/>
          <w:lang w:bidi="ar-EG"/>
        </w:rPr>
        <w:t xml:space="preserve"> 95% CI</w:t>
      </w:r>
      <w:r w:rsidR="00D65ECA" w:rsidRPr="004A30B5">
        <w:rPr>
          <w:rFonts w:asciiTheme="majorBidi" w:hAnsiTheme="majorBidi" w:cstheme="majorBidi"/>
          <w:color w:val="FF0000"/>
          <w:highlight w:val="yellow"/>
          <w:lang w:bidi="ar-EG"/>
        </w:rPr>
        <w:t>=</w:t>
      </w:r>
      <w:r w:rsidR="00D65ECA" w:rsidRPr="004A30B5">
        <w:rPr>
          <w:rFonts w:asciiTheme="majorBidi" w:hAnsiTheme="majorBidi" w:cstheme="majorBidi"/>
          <w:color w:val="FF0000"/>
          <w:lang w:bidi="ar-EG"/>
        </w:rPr>
        <w:t xml:space="preserve"> </w:t>
      </w:r>
      <w:r w:rsidR="00D65ECA" w:rsidRPr="004A30B5">
        <w:rPr>
          <w:rFonts w:asciiTheme="majorBidi" w:eastAsia="Times New Roman" w:hAnsiTheme="majorBidi" w:cstheme="majorBidi"/>
          <w:color w:val="FF0000"/>
        </w:rPr>
        <w:t xml:space="preserve">1.0 -1.0 and </w:t>
      </w:r>
      <w:r w:rsidR="00D65ECA" w:rsidRPr="004A30B5">
        <w:rPr>
          <w:rFonts w:asciiTheme="majorBidi" w:hAnsiTheme="majorBidi" w:cstheme="majorBidi"/>
          <w:color w:val="FF0000"/>
          <w:highlight w:val="yellow"/>
          <w:lang w:bidi="ar-EG"/>
        </w:rPr>
        <w:t>AUC=</w:t>
      </w:r>
      <w:r w:rsidR="00D844F0" w:rsidRPr="004A30B5">
        <w:rPr>
          <w:rFonts w:asciiTheme="majorBidi" w:eastAsia="Times New Roman" w:hAnsiTheme="majorBidi" w:cstheme="majorBidi"/>
          <w:color w:val="FF0000"/>
        </w:rPr>
        <w:t xml:space="preserve">1.0 </w:t>
      </w:r>
      <w:r w:rsidR="00AD4EA0" w:rsidRPr="004A30B5">
        <w:rPr>
          <w:rFonts w:asciiTheme="majorBidi" w:hAnsiTheme="majorBidi" w:cstheme="majorBidi"/>
          <w:color w:val="FF0000"/>
          <w:lang w:bidi="ar-EG"/>
        </w:rPr>
        <w:t xml:space="preserve">and </w:t>
      </w:r>
      <w:r w:rsidR="00BE246B" w:rsidRPr="004A30B5">
        <w:rPr>
          <w:rFonts w:asciiTheme="majorBidi" w:hAnsiTheme="majorBidi" w:cstheme="majorBidi"/>
          <w:color w:val="FF0000"/>
          <w:lang w:bidi="ar-EG"/>
        </w:rPr>
        <w:t>the cutoff point of IL36 γ for differentiating infectious from n</w:t>
      </w:r>
      <w:r w:rsidR="002B3CBB" w:rsidRPr="004A30B5">
        <w:rPr>
          <w:rFonts w:asciiTheme="majorBidi" w:hAnsiTheme="majorBidi" w:cstheme="majorBidi"/>
          <w:color w:val="FF0000"/>
          <w:lang w:bidi="ar-EG"/>
        </w:rPr>
        <w:t>on-infectious pleural effusion wa</w:t>
      </w:r>
      <w:r w:rsidR="00BE246B" w:rsidRPr="004A30B5">
        <w:rPr>
          <w:rFonts w:asciiTheme="majorBidi" w:hAnsiTheme="majorBidi" w:cstheme="majorBidi"/>
          <w:color w:val="FF0000"/>
          <w:lang w:bidi="ar-EG"/>
        </w:rPr>
        <w:t xml:space="preserve">s ≥186.95 </w:t>
      </w:r>
      <w:proofErr w:type="spellStart"/>
      <w:r w:rsidR="00BE246B" w:rsidRPr="004A30B5">
        <w:rPr>
          <w:rFonts w:asciiTheme="majorBidi" w:hAnsiTheme="majorBidi" w:cstheme="majorBidi"/>
          <w:color w:val="FF0000"/>
          <w:lang w:bidi="ar-EG"/>
        </w:rPr>
        <w:t>pg</w:t>
      </w:r>
      <w:proofErr w:type="spellEnd"/>
      <w:r w:rsidR="00BE246B" w:rsidRPr="004A30B5">
        <w:rPr>
          <w:rFonts w:asciiTheme="majorBidi" w:hAnsiTheme="majorBidi" w:cstheme="majorBidi"/>
          <w:color w:val="FF0000"/>
          <w:lang w:bidi="ar-EG"/>
        </w:rPr>
        <w:t>/ml</w:t>
      </w:r>
      <w:r w:rsidR="009C0561" w:rsidRPr="004A30B5">
        <w:rPr>
          <w:rFonts w:asciiTheme="majorBidi" w:hAnsiTheme="majorBidi" w:cstheme="majorBidi"/>
          <w:color w:val="FF0000"/>
          <w:lang w:bidi="ar-EG"/>
        </w:rPr>
        <w:t xml:space="preserve"> (p=0.000)</w:t>
      </w:r>
      <w:r w:rsidR="00BE246B" w:rsidRPr="004A30B5">
        <w:rPr>
          <w:rFonts w:asciiTheme="majorBidi" w:hAnsiTheme="majorBidi" w:cstheme="majorBidi"/>
          <w:color w:val="FF0000"/>
          <w:lang w:bidi="ar-EG"/>
        </w:rPr>
        <w:t xml:space="preserve"> with 100% sensitivity</w:t>
      </w:r>
      <w:r w:rsidRPr="004A30B5">
        <w:rPr>
          <w:rFonts w:asciiTheme="majorBidi" w:hAnsiTheme="majorBidi" w:cstheme="majorBidi"/>
          <w:color w:val="FF0000"/>
          <w:lang w:bidi="ar-EG"/>
        </w:rPr>
        <w:t xml:space="preserve"> and 98% specificity </w:t>
      </w:r>
      <w:r w:rsidR="00D844F0" w:rsidRPr="004A30B5">
        <w:rPr>
          <w:rFonts w:asciiTheme="majorBidi" w:hAnsiTheme="majorBidi" w:cstheme="majorBidi"/>
          <w:color w:val="FF0000"/>
          <w:lang w:bidi="ar-EG"/>
        </w:rPr>
        <w:t>95% CI</w:t>
      </w:r>
      <w:r w:rsidR="00D844F0" w:rsidRPr="004A30B5">
        <w:rPr>
          <w:rFonts w:asciiTheme="majorBidi" w:hAnsiTheme="majorBidi" w:cstheme="majorBidi"/>
          <w:color w:val="FF0000"/>
          <w:highlight w:val="yellow"/>
          <w:lang w:bidi="ar-EG"/>
        </w:rPr>
        <w:t>=</w:t>
      </w:r>
      <w:r w:rsidR="00D844F0" w:rsidRPr="004A30B5">
        <w:rPr>
          <w:rFonts w:asciiTheme="majorBidi" w:hAnsiTheme="majorBidi" w:cstheme="majorBidi"/>
          <w:color w:val="FF0000"/>
          <w:lang w:bidi="ar-EG"/>
        </w:rPr>
        <w:t xml:space="preserve"> </w:t>
      </w:r>
      <w:r w:rsidR="00D844F0" w:rsidRPr="004A30B5">
        <w:rPr>
          <w:rFonts w:asciiTheme="majorBidi" w:eastAsia="Times New Roman" w:hAnsiTheme="majorBidi" w:cstheme="majorBidi"/>
          <w:color w:val="FF0000"/>
        </w:rPr>
        <w:t xml:space="preserve">0.997-1.0 and </w:t>
      </w:r>
      <w:r w:rsidR="00D844F0" w:rsidRPr="004A30B5">
        <w:rPr>
          <w:rFonts w:asciiTheme="majorBidi" w:hAnsiTheme="majorBidi" w:cstheme="majorBidi"/>
          <w:color w:val="FF0000"/>
          <w:highlight w:val="yellow"/>
          <w:lang w:bidi="ar-EG"/>
        </w:rPr>
        <w:t>AUC=</w:t>
      </w:r>
      <w:r w:rsidR="00D844F0" w:rsidRPr="004A30B5">
        <w:rPr>
          <w:rFonts w:asciiTheme="majorBidi" w:hAnsiTheme="majorBidi" w:cstheme="majorBidi"/>
          <w:color w:val="FF0000"/>
          <w:lang w:bidi="ar-EG"/>
        </w:rPr>
        <w:t xml:space="preserve"> </w:t>
      </w:r>
      <w:r w:rsidR="00D844F0" w:rsidRPr="004A30B5">
        <w:rPr>
          <w:rFonts w:asciiTheme="majorBidi" w:eastAsia="Times New Roman" w:hAnsiTheme="majorBidi" w:cstheme="majorBidi"/>
          <w:color w:val="FF0000"/>
        </w:rPr>
        <w:t>0.999</w:t>
      </w:r>
      <w:r w:rsidR="00D844F0" w:rsidRPr="004A30B5">
        <w:rPr>
          <w:rFonts w:asciiTheme="majorBidi" w:hAnsiTheme="majorBidi" w:cstheme="majorBidi"/>
          <w:b/>
          <w:bCs/>
          <w:color w:val="FF0000"/>
          <w:lang w:bidi="ar-EG"/>
        </w:rPr>
        <w:t xml:space="preserve"> </w:t>
      </w:r>
      <w:r w:rsidRPr="004A30B5">
        <w:rPr>
          <w:rFonts w:asciiTheme="majorBidi" w:hAnsiTheme="majorBidi" w:cstheme="majorBidi"/>
          <w:b/>
          <w:bCs/>
          <w:color w:val="FF0000"/>
          <w:lang w:bidi="ar-EG"/>
        </w:rPr>
        <w:t>(Table 6).</w:t>
      </w:r>
    </w:p>
    <w:p w:rsidR="00E42F45" w:rsidRPr="00AD4EA0" w:rsidRDefault="00B7679F" w:rsidP="00AD4EA0">
      <w:pPr>
        <w:spacing w:before="120" w:after="120" w:line="240" w:lineRule="auto"/>
        <w:jc w:val="both"/>
        <w:rPr>
          <w:rFonts w:asciiTheme="majorBidi" w:hAnsiTheme="majorBidi" w:cstheme="majorBidi"/>
          <w:b/>
          <w:bCs/>
          <w:lang w:bidi="ar-EG"/>
        </w:rPr>
      </w:pPr>
      <w:r w:rsidRPr="00AD4EA0">
        <w:rPr>
          <w:rFonts w:asciiTheme="majorBidi" w:hAnsiTheme="majorBidi" w:cstheme="majorBidi"/>
          <w:b/>
          <w:bCs/>
          <w:lang w:bidi="ar-EG"/>
        </w:rPr>
        <w:t>Discussion:</w:t>
      </w:r>
    </w:p>
    <w:p w:rsidR="002154FD" w:rsidRPr="00AD4EA0" w:rsidRDefault="002154FD" w:rsidP="00D3659D">
      <w:pPr>
        <w:spacing w:before="120" w:after="120" w:line="240" w:lineRule="auto"/>
        <w:ind w:firstLine="720"/>
        <w:jc w:val="both"/>
        <w:rPr>
          <w:rFonts w:asciiTheme="majorBidi" w:hAnsiTheme="majorBidi" w:cstheme="majorBidi"/>
          <w:color w:val="1F1F1F"/>
        </w:rPr>
      </w:pPr>
      <w:r w:rsidRPr="00AD4EA0">
        <w:rPr>
          <w:rFonts w:asciiTheme="majorBidi" w:hAnsiTheme="majorBidi" w:cstheme="majorBidi"/>
          <w:color w:val="1F1F1F"/>
        </w:rPr>
        <w:t>In clinical practice, pleural effusion is a frequently observed complication that can result from a variety of disorders. Even though there are a number of markers for the etiological diagnosis of PE, finding additional biomarkers to increase diagnostic precision is still a majo</w:t>
      </w:r>
      <w:r w:rsidR="003A5073" w:rsidRPr="00AD4EA0">
        <w:rPr>
          <w:rFonts w:asciiTheme="majorBidi" w:hAnsiTheme="majorBidi" w:cstheme="majorBidi"/>
          <w:color w:val="1F1F1F"/>
        </w:rPr>
        <w:t>r resea</w:t>
      </w:r>
      <w:r w:rsidR="00BE04A5">
        <w:rPr>
          <w:rFonts w:asciiTheme="majorBidi" w:hAnsiTheme="majorBidi" w:cstheme="majorBidi"/>
          <w:color w:val="1F1F1F"/>
        </w:rPr>
        <w:t>rch goal and difficulty [16</w:t>
      </w:r>
      <w:r w:rsidR="003A5073" w:rsidRPr="00AD4EA0">
        <w:rPr>
          <w:rFonts w:asciiTheme="majorBidi" w:hAnsiTheme="majorBidi" w:cstheme="majorBidi"/>
          <w:color w:val="1F1F1F"/>
        </w:rPr>
        <w:t>].</w:t>
      </w:r>
    </w:p>
    <w:p w:rsidR="000253B4" w:rsidRPr="00AD4EA0" w:rsidRDefault="00566E06" w:rsidP="00D3659D">
      <w:pPr>
        <w:spacing w:before="120" w:after="120" w:line="240" w:lineRule="auto"/>
        <w:ind w:firstLine="720"/>
        <w:jc w:val="both"/>
        <w:rPr>
          <w:rFonts w:asciiTheme="majorBidi" w:hAnsiTheme="majorBidi" w:cstheme="majorBidi"/>
          <w:color w:val="1F1F1F"/>
        </w:rPr>
      </w:pPr>
      <w:r w:rsidRPr="00AD4EA0">
        <w:rPr>
          <w:rFonts w:asciiTheme="majorBidi" w:hAnsiTheme="majorBidi" w:cstheme="majorBidi"/>
          <w:color w:val="1F1F1F"/>
        </w:rPr>
        <w:t xml:space="preserve">Numerous studies have demonstrated the </w:t>
      </w:r>
      <w:r w:rsidR="00B0538E">
        <w:rPr>
          <w:rFonts w:asciiTheme="majorBidi" w:hAnsiTheme="majorBidi" w:cstheme="majorBidi"/>
          <w:color w:val="1F1F1F"/>
        </w:rPr>
        <w:t>correlation</w:t>
      </w:r>
      <w:r w:rsidRPr="00AD4EA0">
        <w:rPr>
          <w:rFonts w:asciiTheme="majorBidi" w:hAnsiTheme="majorBidi" w:cstheme="majorBidi"/>
          <w:color w:val="1F1F1F"/>
        </w:rPr>
        <w:t xml:space="preserve"> between IL-36 and the development of a number of illn</w:t>
      </w:r>
      <w:r w:rsidR="000E6186" w:rsidRPr="00AD4EA0">
        <w:rPr>
          <w:rFonts w:asciiTheme="majorBidi" w:hAnsiTheme="majorBidi" w:cstheme="majorBidi"/>
          <w:color w:val="1F1F1F"/>
        </w:rPr>
        <w:t>esses, such as tuberculosis, pneumonia, malignant tumors, and infections</w:t>
      </w:r>
      <w:r w:rsidRPr="00AD4EA0">
        <w:rPr>
          <w:rFonts w:asciiTheme="majorBidi" w:hAnsiTheme="majorBidi" w:cstheme="majorBidi"/>
          <w:color w:val="1F1F1F"/>
        </w:rPr>
        <w:t>. These findings point to a higher possibility that IL-36 contributes to the pathogenic pathways of pleural effusion and may have additional diagnostic ramificati</w:t>
      </w:r>
      <w:r w:rsidR="00BE04A5">
        <w:rPr>
          <w:rFonts w:asciiTheme="majorBidi" w:hAnsiTheme="majorBidi" w:cstheme="majorBidi"/>
          <w:color w:val="1F1F1F"/>
        </w:rPr>
        <w:t>ons [17</w:t>
      </w:r>
      <w:r w:rsidR="00422A16" w:rsidRPr="00AD4EA0">
        <w:rPr>
          <w:rFonts w:asciiTheme="majorBidi" w:hAnsiTheme="majorBidi" w:cstheme="majorBidi"/>
          <w:color w:val="1F1F1F"/>
        </w:rPr>
        <w:t>].</w:t>
      </w:r>
    </w:p>
    <w:p w:rsidR="000253B4" w:rsidRPr="00AD4EA0" w:rsidRDefault="000253B4" w:rsidP="00D30820">
      <w:pPr>
        <w:spacing w:line="240" w:lineRule="auto"/>
        <w:ind w:firstLine="720"/>
        <w:jc w:val="both"/>
        <w:rPr>
          <w:rFonts w:asciiTheme="majorBidi" w:hAnsiTheme="majorBidi" w:cstheme="majorBidi"/>
          <w:lang w:bidi="ar-EG"/>
        </w:rPr>
      </w:pPr>
      <w:r w:rsidRPr="00AD4EA0">
        <w:rPr>
          <w:rFonts w:asciiTheme="majorBidi" w:hAnsiTheme="majorBidi" w:cstheme="majorBidi"/>
          <w:color w:val="1F1F1F"/>
        </w:rPr>
        <w:t xml:space="preserve">This study </w:t>
      </w:r>
      <w:r w:rsidRPr="00AD4EA0">
        <w:rPr>
          <w:rFonts w:asciiTheme="majorBidi" w:hAnsiTheme="majorBidi" w:cstheme="majorBidi"/>
          <w:lang w:bidi="ar-EG"/>
        </w:rPr>
        <w:t xml:space="preserve">demonstrated that there was a highly significant difference (p &lt;0.001) in IL-36γ across the various study groups; </w:t>
      </w:r>
      <w:r w:rsidR="00AD58C7" w:rsidRPr="00AD4EA0">
        <w:rPr>
          <w:rFonts w:asciiTheme="majorBidi" w:hAnsiTheme="majorBidi" w:cstheme="majorBidi"/>
          <w:lang w:bidi="ar-EG"/>
        </w:rPr>
        <w:t>pleural IL-36γ was higher in tuberculous pleural effusion (</w:t>
      </w:r>
      <w:r w:rsidR="00AD58C7" w:rsidRPr="00AD4EA0">
        <w:rPr>
          <w:rFonts w:asciiTheme="majorBidi" w:eastAsia="Times New Roman" w:hAnsiTheme="majorBidi" w:cstheme="majorBidi"/>
        </w:rPr>
        <w:t xml:space="preserve">774.89 </w:t>
      </w:r>
      <w:proofErr w:type="spellStart"/>
      <w:r w:rsidR="00AD58C7" w:rsidRPr="00AD4EA0">
        <w:rPr>
          <w:rFonts w:asciiTheme="majorBidi" w:eastAsia="Times New Roman" w:hAnsiTheme="majorBidi" w:cstheme="majorBidi"/>
        </w:rPr>
        <w:t>pg</w:t>
      </w:r>
      <w:proofErr w:type="spellEnd"/>
      <w:r w:rsidR="00AD58C7" w:rsidRPr="00AD4EA0">
        <w:rPr>
          <w:rFonts w:asciiTheme="majorBidi" w:eastAsia="Times New Roman" w:hAnsiTheme="majorBidi" w:cstheme="majorBidi"/>
        </w:rPr>
        <w:t>/ml</w:t>
      </w:r>
      <w:r w:rsidR="00AD58C7" w:rsidRPr="00AD4EA0">
        <w:rPr>
          <w:rFonts w:asciiTheme="majorBidi" w:hAnsiTheme="majorBidi" w:cstheme="majorBidi"/>
          <w:lang w:bidi="ar-EG"/>
        </w:rPr>
        <w:t xml:space="preserve">) than in </w:t>
      </w:r>
      <w:r w:rsidR="006515FE" w:rsidRPr="00AD4EA0">
        <w:rPr>
          <w:rFonts w:asciiTheme="majorBidi" w:hAnsiTheme="majorBidi" w:cstheme="majorBidi"/>
          <w:lang w:bidi="ar-EG"/>
        </w:rPr>
        <w:t>unc</w:t>
      </w:r>
      <w:r w:rsidR="006515FE">
        <w:rPr>
          <w:rFonts w:asciiTheme="majorBidi" w:hAnsiTheme="majorBidi" w:cstheme="majorBidi"/>
          <w:lang w:bidi="ar-EG"/>
        </w:rPr>
        <w:t xml:space="preserve">omplicated </w:t>
      </w:r>
      <w:r w:rsidR="006515FE" w:rsidRPr="00AD4EA0">
        <w:rPr>
          <w:rFonts w:asciiTheme="majorBidi" w:hAnsiTheme="majorBidi" w:cstheme="majorBidi"/>
          <w:lang w:bidi="ar-EG"/>
        </w:rPr>
        <w:t>pleural effusion</w:t>
      </w:r>
      <w:r w:rsidR="006515FE">
        <w:rPr>
          <w:rFonts w:asciiTheme="majorBidi" w:hAnsiTheme="majorBidi" w:cstheme="majorBidi"/>
          <w:lang w:bidi="ar-EG"/>
        </w:rPr>
        <w:t xml:space="preserve"> (</w:t>
      </w:r>
      <w:r w:rsidR="006515FE" w:rsidRPr="00AD4EA0">
        <w:rPr>
          <w:rFonts w:asciiTheme="majorBidi" w:eastAsia="Times New Roman" w:hAnsiTheme="majorBidi" w:cstheme="majorBidi"/>
        </w:rPr>
        <w:t>327.11pg/ml)</w:t>
      </w:r>
      <w:r w:rsidR="006515FE">
        <w:rPr>
          <w:rFonts w:asciiTheme="majorBidi" w:eastAsia="Times New Roman" w:hAnsiTheme="majorBidi" w:cstheme="majorBidi"/>
        </w:rPr>
        <w:t xml:space="preserve">, </w:t>
      </w:r>
      <w:r w:rsidR="00AD58C7" w:rsidRPr="00AD4EA0">
        <w:rPr>
          <w:rFonts w:asciiTheme="majorBidi" w:hAnsiTheme="majorBidi" w:cstheme="majorBidi"/>
          <w:lang w:bidi="ar-EG"/>
        </w:rPr>
        <w:t>malignant</w:t>
      </w:r>
      <w:r w:rsidR="00DC4606" w:rsidRPr="00AD4EA0">
        <w:rPr>
          <w:rFonts w:asciiTheme="majorBidi" w:eastAsia="Times New Roman" w:hAnsiTheme="majorBidi" w:cstheme="majorBidi"/>
        </w:rPr>
        <w:t xml:space="preserve"> </w:t>
      </w:r>
      <w:r w:rsidR="00AD58C7" w:rsidRPr="00AD4EA0">
        <w:rPr>
          <w:rFonts w:asciiTheme="majorBidi" w:eastAsia="Times New Roman" w:hAnsiTheme="majorBidi" w:cstheme="majorBidi"/>
        </w:rPr>
        <w:t>(</w:t>
      </w:r>
      <w:r w:rsidR="00DC4606" w:rsidRPr="00AD4EA0">
        <w:rPr>
          <w:rFonts w:asciiTheme="majorBidi" w:eastAsia="Times New Roman" w:hAnsiTheme="majorBidi" w:cstheme="majorBidi"/>
        </w:rPr>
        <w:t>1</w:t>
      </w:r>
      <w:r w:rsidR="00C90570">
        <w:rPr>
          <w:rFonts w:asciiTheme="majorBidi" w:eastAsia="Times New Roman" w:hAnsiTheme="majorBidi" w:cstheme="majorBidi"/>
        </w:rPr>
        <w:t xml:space="preserve">58.22 </w:t>
      </w:r>
      <w:proofErr w:type="spellStart"/>
      <w:r w:rsidR="00C90570">
        <w:rPr>
          <w:rFonts w:asciiTheme="majorBidi" w:eastAsia="Times New Roman" w:hAnsiTheme="majorBidi" w:cstheme="majorBidi"/>
        </w:rPr>
        <w:t>pg</w:t>
      </w:r>
      <w:proofErr w:type="spellEnd"/>
      <w:r w:rsidR="00C90570">
        <w:rPr>
          <w:rFonts w:asciiTheme="majorBidi" w:eastAsia="Times New Roman" w:hAnsiTheme="majorBidi" w:cstheme="majorBidi"/>
        </w:rPr>
        <w:t>/ml)</w:t>
      </w:r>
      <w:r w:rsidR="00AD58C7" w:rsidRPr="00AD4EA0">
        <w:rPr>
          <w:rFonts w:asciiTheme="majorBidi" w:hAnsiTheme="majorBidi" w:cstheme="majorBidi"/>
          <w:lang w:bidi="ar-EG"/>
        </w:rPr>
        <w:t xml:space="preserve"> </w:t>
      </w:r>
      <w:r w:rsidR="006515FE" w:rsidRPr="00AD4EA0">
        <w:rPr>
          <w:rFonts w:asciiTheme="majorBidi" w:hAnsiTheme="majorBidi" w:cstheme="majorBidi"/>
          <w:lang w:bidi="ar-EG"/>
        </w:rPr>
        <w:t>and</w:t>
      </w:r>
      <w:r w:rsidR="006515FE">
        <w:rPr>
          <w:rFonts w:asciiTheme="majorBidi" w:hAnsiTheme="majorBidi" w:cstheme="majorBidi"/>
          <w:lang w:bidi="ar-EG"/>
        </w:rPr>
        <w:t xml:space="preserve"> </w:t>
      </w:r>
      <w:proofErr w:type="spellStart"/>
      <w:r w:rsidR="00AD58C7" w:rsidRPr="00AD4EA0">
        <w:rPr>
          <w:rFonts w:asciiTheme="majorBidi" w:hAnsiTheme="majorBidi" w:cstheme="majorBidi"/>
          <w:lang w:bidi="ar-EG"/>
        </w:rPr>
        <w:t>transudative</w:t>
      </w:r>
      <w:proofErr w:type="spellEnd"/>
      <w:r w:rsidR="00AD58C7" w:rsidRPr="00AD4EA0">
        <w:rPr>
          <w:rFonts w:asciiTheme="majorBidi" w:hAnsiTheme="majorBidi" w:cstheme="majorBidi"/>
          <w:lang w:bidi="ar-EG"/>
        </w:rPr>
        <w:t xml:space="preserve"> (</w:t>
      </w:r>
      <w:r w:rsidR="00AD58C7" w:rsidRPr="00AD4EA0">
        <w:rPr>
          <w:rFonts w:asciiTheme="majorBidi" w:eastAsia="Times New Roman" w:hAnsiTheme="majorBidi" w:cstheme="majorBidi"/>
        </w:rPr>
        <w:t xml:space="preserve">47.87 </w:t>
      </w:r>
      <w:proofErr w:type="spellStart"/>
      <w:r w:rsidR="00AD58C7" w:rsidRPr="00AD4EA0">
        <w:rPr>
          <w:rFonts w:asciiTheme="majorBidi" w:eastAsia="Times New Roman" w:hAnsiTheme="majorBidi" w:cstheme="majorBidi"/>
        </w:rPr>
        <w:t>pg</w:t>
      </w:r>
      <w:proofErr w:type="spellEnd"/>
      <w:r w:rsidR="00AD58C7" w:rsidRPr="00AD4EA0">
        <w:rPr>
          <w:rFonts w:asciiTheme="majorBidi" w:eastAsia="Times New Roman" w:hAnsiTheme="majorBidi" w:cstheme="majorBidi"/>
        </w:rPr>
        <w:t>/ml)</w:t>
      </w:r>
      <w:r w:rsidR="00AD58C7" w:rsidRPr="00AD4EA0">
        <w:rPr>
          <w:rFonts w:asciiTheme="majorBidi" w:hAnsiTheme="majorBidi" w:cstheme="majorBidi"/>
          <w:lang w:bidi="ar-EG"/>
        </w:rPr>
        <w:t>; on the other hand, pleural IL-36γ was higher in complicated pleural effusion (</w:t>
      </w:r>
      <w:r w:rsidR="00AD58C7" w:rsidRPr="00AD4EA0">
        <w:rPr>
          <w:rFonts w:asciiTheme="majorBidi" w:eastAsia="Times New Roman" w:hAnsiTheme="majorBidi" w:cstheme="majorBidi"/>
        </w:rPr>
        <w:t xml:space="preserve">2920.30 </w:t>
      </w:r>
      <w:proofErr w:type="spellStart"/>
      <w:r w:rsidR="00AD58C7" w:rsidRPr="00AD4EA0">
        <w:rPr>
          <w:rFonts w:asciiTheme="majorBidi" w:eastAsia="Times New Roman" w:hAnsiTheme="majorBidi" w:cstheme="majorBidi"/>
        </w:rPr>
        <w:t>pg</w:t>
      </w:r>
      <w:proofErr w:type="spellEnd"/>
      <w:r w:rsidR="00AD58C7" w:rsidRPr="00AD4EA0">
        <w:rPr>
          <w:rFonts w:asciiTheme="majorBidi" w:eastAsia="Times New Roman" w:hAnsiTheme="majorBidi" w:cstheme="majorBidi"/>
        </w:rPr>
        <w:t>/ml)</w:t>
      </w:r>
      <w:r w:rsidR="00AD58C7" w:rsidRPr="00AD4EA0">
        <w:rPr>
          <w:rFonts w:asciiTheme="majorBidi" w:hAnsiTheme="majorBidi" w:cstheme="majorBidi"/>
          <w:lang w:bidi="ar-EG"/>
        </w:rPr>
        <w:t xml:space="preserve"> than in tuberculous, </w:t>
      </w:r>
      <w:r w:rsidR="00D30820" w:rsidRPr="00AD4EA0">
        <w:rPr>
          <w:rFonts w:asciiTheme="majorBidi" w:hAnsiTheme="majorBidi" w:cstheme="majorBidi"/>
          <w:lang w:bidi="ar-EG"/>
        </w:rPr>
        <w:t>uncomplicated pleural effusion</w:t>
      </w:r>
      <w:r w:rsidR="00D30820">
        <w:rPr>
          <w:rFonts w:asciiTheme="majorBidi" w:hAnsiTheme="majorBidi" w:cstheme="majorBidi"/>
          <w:lang w:bidi="ar-EG"/>
        </w:rPr>
        <w:t xml:space="preserve">, </w:t>
      </w:r>
      <w:r w:rsidR="00F31825">
        <w:rPr>
          <w:rFonts w:asciiTheme="majorBidi" w:hAnsiTheme="majorBidi" w:cstheme="majorBidi"/>
          <w:lang w:bidi="ar-EG"/>
        </w:rPr>
        <w:t xml:space="preserve">malignant </w:t>
      </w:r>
      <w:r w:rsidR="00F31825" w:rsidRPr="00AD4EA0">
        <w:rPr>
          <w:rFonts w:asciiTheme="majorBidi" w:hAnsiTheme="majorBidi" w:cstheme="majorBidi"/>
          <w:lang w:bidi="ar-EG"/>
        </w:rPr>
        <w:t xml:space="preserve">and </w:t>
      </w:r>
      <w:proofErr w:type="spellStart"/>
      <w:r w:rsidR="00AD58C7" w:rsidRPr="00AD4EA0">
        <w:rPr>
          <w:rFonts w:asciiTheme="majorBidi" w:hAnsiTheme="majorBidi" w:cstheme="majorBidi"/>
          <w:lang w:bidi="ar-EG"/>
        </w:rPr>
        <w:t>transudative</w:t>
      </w:r>
      <w:proofErr w:type="spellEnd"/>
      <w:r w:rsidR="00F31825">
        <w:rPr>
          <w:rFonts w:asciiTheme="majorBidi" w:hAnsiTheme="majorBidi" w:cstheme="majorBidi"/>
          <w:lang w:bidi="ar-EG"/>
        </w:rPr>
        <w:t xml:space="preserve"> </w:t>
      </w:r>
      <w:r w:rsidR="00F31825" w:rsidRPr="00AD4EA0">
        <w:rPr>
          <w:rFonts w:asciiTheme="majorBidi" w:hAnsiTheme="majorBidi" w:cstheme="majorBidi"/>
          <w:lang w:bidi="ar-EG"/>
        </w:rPr>
        <w:t>pleural effusion</w:t>
      </w:r>
      <w:r w:rsidR="00AD58C7" w:rsidRPr="00AD4EA0">
        <w:rPr>
          <w:rFonts w:asciiTheme="majorBidi" w:hAnsiTheme="majorBidi" w:cstheme="majorBidi"/>
          <w:lang w:bidi="ar-EG"/>
        </w:rPr>
        <w:t xml:space="preserve"> </w:t>
      </w:r>
      <w:r w:rsidR="006C2BF3" w:rsidRPr="00AD4EA0">
        <w:rPr>
          <w:rFonts w:asciiTheme="majorBidi" w:hAnsiTheme="majorBidi" w:cstheme="majorBidi"/>
          <w:b/>
          <w:bCs/>
          <w:lang w:bidi="ar-EG"/>
        </w:rPr>
        <w:t>(T</w:t>
      </w:r>
      <w:r w:rsidRPr="00AD4EA0">
        <w:rPr>
          <w:rFonts w:asciiTheme="majorBidi" w:hAnsiTheme="majorBidi" w:cstheme="majorBidi"/>
          <w:b/>
          <w:bCs/>
          <w:lang w:bidi="ar-EG"/>
        </w:rPr>
        <w:t>able 2).</w:t>
      </w:r>
    </w:p>
    <w:p w:rsidR="000253B4" w:rsidRPr="00AD4EA0" w:rsidRDefault="00A4130F" w:rsidP="00C5075E">
      <w:pPr>
        <w:autoSpaceDE w:val="0"/>
        <w:autoSpaceDN w:val="0"/>
        <w:adjustRightInd w:val="0"/>
        <w:spacing w:after="0" w:line="240" w:lineRule="auto"/>
        <w:ind w:firstLine="720"/>
        <w:jc w:val="both"/>
        <w:rPr>
          <w:rFonts w:asciiTheme="majorBidi" w:hAnsiTheme="majorBidi" w:cstheme="majorBidi"/>
          <w:lang w:bidi="ar-EG"/>
        </w:rPr>
      </w:pPr>
      <w:proofErr w:type="spellStart"/>
      <w:r w:rsidRPr="00A4130F">
        <w:rPr>
          <w:rFonts w:asciiTheme="majorBidi" w:hAnsiTheme="majorBidi" w:cstheme="majorBidi"/>
          <w:lang w:bidi="ar-EG"/>
        </w:rPr>
        <w:lastRenderedPageBreak/>
        <w:t>Guo</w:t>
      </w:r>
      <w:proofErr w:type="spellEnd"/>
      <w:r w:rsidRPr="00A4130F">
        <w:rPr>
          <w:rFonts w:asciiTheme="majorBidi" w:hAnsiTheme="majorBidi" w:cstheme="majorBidi"/>
          <w:lang w:bidi="ar-EG"/>
        </w:rPr>
        <w:t xml:space="preserve"> et al.'s study supported this, finding that the pleural concentrations of IL-36γ in people with PPE, TPE, MPE, and transudate we</w:t>
      </w:r>
      <w:r w:rsidR="00D867FA">
        <w:rPr>
          <w:rFonts w:asciiTheme="majorBidi" w:hAnsiTheme="majorBidi" w:cstheme="majorBidi"/>
          <w:lang w:bidi="ar-EG"/>
        </w:rPr>
        <w:t>re estimated to be 368.0 (210.0 -</w:t>
      </w:r>
      <w:r w:rsidRPr="00A4130F">
        <w:rPr>
          <w:rFonts w:asciiTheme="majorBidi" w:hAnsiTheme="majorBidi" w:cstheme="majorBidi"/>
          <w:lang w:bidi="ar-EG"/>
        </w:rPr>
        <w:t xml:space="preserve"> 1521.0)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 xml:space="preserve">/ml, 818.5 (569.0, 1157.0)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/ml, 185.3 (155.9</w:t>
      </w:r>
      <w:r w:rsidR="00D867FA">
        <w:rPr>
          <w:rFonts w:asciiTheme="majorBidi" w:hAnsiTheme="majorBidi" w:cstheme="majorBidi"/>
          <w:lang w:bidi="ar-EG"/>
        </w:rPr>
        <w:t xml:space="preserve"> - 269.0) </w:t>
      </w:r>
      <w:proofErr w:type="spellStart"/>
      <w:r w:rsidR="00D867FA">
        <w:rPr>
          <w:rFonts w:asciiTheme="majorBidi" w:hAnsiTheme="majorBidi" w:cstheme="majorBidi"/>
          <w:lang w:bidi="ar-EG"/>
        </w:rPr>
        <w:t>pg</w:t>
      </w:r>
      <w:proofErr w:type="spellEnd"/>
      <w:r w:rsidR="00D867FA">
        <w:rPr>
          <w:rFonts w:asciiTheme="majorBidi" w:hAnsiTheme="majorBidi" w:cstheme="majorBidi"/>
          <w:lang w:bidi="ar-EG"/>
        </w:rPr>
        <w:t>/ml, and 121.9 (46.3 -</w:t>
      </w:r>
      <w:r w:rsidRPr="00A4130F">
        <w:rPr>
          <w:rFonts w:asciiTheme="majorBidi" w:hAnsiTheme="majorBidi" w:cstheme="majorBidi"/>
          <w:lang w:bidi="ar-EG"/>
        </w:rPr>
        <w:t xml:space="preserve"> 196.5)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/ml,</w:t>
      </w:r>
      <w:r w:rsidR="00C5075E">
        <w:rPr>
          <w:rFonts w:asciiTheme="majorBidi" w:hAnsiTheme="majorBidi" w:cstheme="majorBidi"/>
          <w:lang w:bidi="ar-EG"/>
        </w:rPr>
        <w:t xml:space="preserve"> respectively</w:t>
      </w:r>
      <w:r w:rsidRPr="00A4130F">
        <w:rPr>
          <w:rFonts w:asciiTheme="majorBidi" w:hAnsiTheme="majorBidi" w:cstheme="majorBidi"/>
          <w:lang w:bidi="ar-EG"/>
        </w:rPr>
        <w:t xml:space="preserve">. When compared to MPE and </w:t>
      </w:r>
      <w:proofErr w:type="spellStart"/>
      <w:r w:rsidRPr="00A4130F">
        <w:rPr>
          <w:rFonts w:asciiTheme="majorBidi" w:hAnsiTheme="majorBidi" w:cstheme="majorBidi"/>
          <w:lang w:bidi="ar-EG"/>
        </w:rPr>
        <w:t>transudative</w:t>
      </w:r>
      <w:proofErr w:type="spellEnd"/>
      <w:r w:rsidRPr="00A4130F">
        <w:rPr>
          <w:rFonts w:asciiTheme="majorBidi" w:hAnsiTheme="majorBidi" w:cstheme="majorBidi"/>
          <w:lang w:bidi="ar-EG"/>
        </w:rPr>
        <w:t xml:space="preserve"> effusion, the pleural level of IL-36γ was considerably higher in PPE and TPE. Nevertheless, no statistically significant differences (p &gt; 0.05) were seen between the PPE and TPE groups. </w:t>
      </w:r>
      <w:r w:rsidR="00BE04A5">
        <w:rPr>
          <w:rFonts w:asciiTheme="majorBidi" w:hAnsiTheme="majorBidi" w:cstheme="majorBidi"/>
          <w:lang w:bidi="ar-EG"/>
        </w:rPr>
        <w:t>[18</w:t>
      </w:r>
      <w:r w:rsidR="00576B39" w:rsidRPr="00AD4EA0">
        <w:rPr>
          <w:rFonts w:asciiTheme="majorBidi" w:hAnsiTheme="majorBidi" w:cstheme="majorBidi"/>
          <w:lang w:bidi="ar-EG"/>
        </w:rPr>
        <w:t>].</w:t>
      </w:r>
    </w:p>
    <w:p w:rsidR="00DC4606" w:rsidRDefault="00A4130F" w:rsidP="003D61CA">
      <w:pPr>
        <w:autoSpaceDE w:val="0"/>
        <w:autoSpaceDN w:val="0"/>
        <w:adjustRightInd w:val="0"/>
        <w:spacing w:after="0" w:line="240" w:lineRule="auto"/>
        <w:ind w:firstLine="720"/>
        <w:jc w:val="both"/>
        <w:rPr>
          <w:rFonts w:asciiTheme="majorBidi" w:hAnsiTheme="majorBidi" w:cstheme="majorBidi"/>
          <w:lang w:bidi="ar-EG"/>
        </w:rPr>
      </w:pPr>
      <w:r w:rsidRPr="00A4130F">
        <w:rPr>
          <w:rFonts w:asciiTheme="majorBidi" w:hAnsiTheme="majorBidi" w:cstheme="majorBidi"/>
          <w:lang w:bidi="ar-EG"/>
        </w:rPr>
        <w:t xml:space="preserve">Additionally, Song and colleagues' investigation revealed that the pleural fluid concentrations of IL-36γ in patients with transudate, MPE, TPE, and PPE were 82.8 ± 15.0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 xml:space="preserve">/ml, 180.6 ± 11.7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 xml:space="preserve">/ml, 964.7 ± 121.7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 xml:space="preserve">/ml, and 1186.1 ± 269.1 </w:t>
      </w:r>
      <w:proofErr w:type="spellStart"/>
      <w:r w:rsidRPr="00A4130F">
        <w:rPr>
          <w:rFonts w:asciiTheme="majorBidi" w:hAnsiTheme="majorBidi" w:cstheme="majorBidi"/>
          <w:lang w:bidi="ar-EG"/>
        </w:rPr>
        <w:t>pg</w:t>
      </w:r>
      <w:proofErr w:type="spellEnd"/>
      <w:r w:rsidRPr="00A4130F">
        <w:rPr>
          <w:rFonts w:asciiTheme="majorBidi" w:hAnsiTheme="majorBidi" w:cstheme="majorBidi"/>
          <w:lang w:bidi="ar-EG"/>
        </w:rPr>
        <w:t>/ml,</w:t>
      </w:r>
      <w:r w:rsidR="003D61CA">
        <w:rPr>
          <w:rFonts w:asciiTheme="majorBidi" w:hAnsiTheme="majorBidi" w:cstheme="majorBidi"/>
          <w:lang w:bidi="ar-EG"/>
        </w:rPr>
        <w:t xml:space="preserve"> respectively</w:t>
      </w:r>
      <w:r w:rsidRPr="00A4130F">
        <w:rPr>
          <w:rFonts w:asciiTheme="majorBidi" w:hAnsiTheme="majorBidi" w:cstheme="majorBidi"/>
          <w:lang w:bidi="ar-EG"/>
        </w:rPr>
        <w:t xml:space="preserve">. Compared to those with transudate and MPE, those with TPE and PPE diagnoses had significantly greater IL-36γ concentrations. Furthermore, compared to the UPPE subgroup, the CPPE/empyema subgroup showed noticeably higher IL-36γ levels (P &lt; 0.0001). </w:t>
      </w:r>
      <w:r w:rsidR="00BE04A5">
        <w:rPr>
          <w:rFonts w:asciiTheme="majorBidi" w:hAnsiTheme="majorBidi" w:cstheme="majorBidi"/>
          <w:lang w:bidi="ar-EG"/>
        </w:rPr>
        <w:t>[19</w:t>
      </w:r>
      <w:r w:rsidR="00851815" w:rsidRPr="00AD4EA0">
        <w:rPr>
          <w:rFonts w:asciiTheme="majorBidi" w:hAnsiTheme="majorBidi" w:cstheme="majorBidi"/>
          <w:lang w:bidi="ar-EG"/>
        </w:rPr>
        <w:t>].</w:t>
      </w:r>
    </w:p>
    <w:p w:rsidR="00C5075E" w:rsidRPr="00AD4EA0" w:rsidRDefault="00C5075E" w:rsidP="00C5075E">
      <w:pPr>
        <w:autoSpaceDE w:val="0"/>
        <w:autoSpaceDN w:val="0"/>
        <w:adjustRightInd w:val="0"/>
        <w:spacing w:after="0" w:line="240" w:lineRule="auto"/>
        <w:ind w:firstLine="720"/>
        <w:jc w:val="both"/>
        <w:rPr>
          <w:rFonts w:asciiTheme="majorBidi" w:hAnsiTheme="majorBidi" w:cstheme="majorBidi"/>
          <w:lang w:bidi="ar-EG"/>
        </w:rPr>
      </w:pPr>
      <w:r w:rsidRPr="00A4130F">
        <w:rPr>
          <w:rFonts w:asciiTheme="majorBidi" w:hAnsiTheme="majorBidi" w:cstheme="majorBidi"/>
          <w:lang w:bidi="ar-EG"/>
        </w:rPr>
        <w:t xml:space="preserve">This makes sense because lung infections caused by a variety of pathogenic bacteria have been associated with the inflammatory cytokine IL-36γ. Macrophages secrete IL-36γ into the extracellular space by encasing it in particles and exosomes, which they make quickly in the lung. </w:t>
      </w:r>
      <w:r>
        <w:rPr>
          <w:rFonts w:asciiTheme="majorBidi" w:hAnsiTheme="majorBidi" w:cstheme="majorBidi"/>
          <w:lang w:bidi="ar-EG"/>
        </w:rPr>
        <w:t>[20</w:t>
      </w:r>
      <w:r w:rsidRPr="00AD4EA0">
        <w:rPr>
          <w:rFonts w:asciiTheme="majorBidi" w:hAnsiTheme="majorBidi" w:cstheme="majorBidi"/>
          <w:lang w:bidi="ar-EG"/>
        </w:rPr>
        <w:t>].</w:t>
      </w:r>
    </w:p>
    <w:p w:rsidR="00C5075E" w:rsidRPr="00AD4EA0" w:rsidRDefault="00C5075E" w:rsidP="00C5075E">
      <w:pPr>
        <w:autoSpaceDE w:val="0"/>
        <w:autoSpaceDN w:val="0"/>
        <w:adjustRightInd w:val="0"/>
        <w:spacing w:after="0" w:line="240" w:lineRule="auto"/>
        <w:ind w:firstLine="720"/>
        <w:jc w:val="both"/>
        <w:rPr>
          <w:rFonts w:asciiTheme="majorBidi" w:hAnsiTheme="majorBidi" w:cstheme="majorBidi"/>
          <w:lang w:bidi="ar-EG"/>
        </w:rPr>
      </w:pPr>
      <w:proofErr w:type="spellStart"/>
      <w:r w:rsidRPr="00F51E66">
        <w:rPr>
          <w:rFonts w:asciiTheme="majorBidi" w:hAnsiTheme="majorBidi" w:cstheme="majorBidi"/>
          <w:lang w:bidi="ar-EG"/>
        </w:rPr>
        <w:t>Mtb</w:t>
      </w:r>
      <w:proofErr w:type="spellEnd"/>
      <w:r w:rsidRPr="00F51E66">
        <w:rPr>
          <w:rFonts w:asciiTheme="majorBidi" w:hAnsiTheme="majorBidi" w:cstheme="majorBidi"/>
          <w:lang w:bidi="ar-EG"/>
        </w:rPr>
        <w:t xml:space="preserve"> enters the pleural cavity in modest amounts in TPE, which causes a localized immune response. A substantial T-helper type 1 lymphocyte response happens after neutrophil inflow and monocyte migration. IL-36γ production has been found to be caused by </w:t>
      </w:r>
      <w:proofErr w:type="spellStart"/>
      <w:r w:rsidRPr="00F51E66">
        <w:rPr>
          <w:rFonts w:asciiTheme="majorBidi" w:hAnsiTheme="majorBidi" w:cstheme="majorBidi"/>
          <w:lang w:bidi="ar-EG"/>
        </w:rPr>
        <w:t>Mtb</w:t>
      </w:r>
      <w:proofErr w:type="spellEnd"/>
      <w:r w:rsidRPr="00F51E66">
        <w:rPr>
          <w:rFonts w:asciiTheme="majorBidi" w:hAnsiTheme="majorBidi" w:cstheme="majorBidi"/>
          <w:lang w:bidi="ar-EG"/>
        </w:rPr>
        <w:t xml:space="preserve"> infection, which activates a host-dependent pathway including the Toll-like receptor and myeloid differentiation primary response gene 88 (MyD88). </w:t>
      </w:r>
      <w:r>
        <w:rPr>
          <w:rFonts w:asciiTheme="majorBidi" w:hAnsiTheme="majorBidi" w:cstheme="majorBidi"/>
          <w:lang w:bidi="ar-EG"/>
        </w:rPr>
        <w:t>[21</w:t>
      </w:r>
      <w:r w:rsidRPr="00AD4EA0">
        <w:rPr>
          <w:rFonts w:asciiTheme="majorBidi" w:hAnsiTheme="majorBidi" w:cstheme="majorBidi"/>
          <w:lang w:bidi="ar-EG"/>
        </w:rPr>
        <w:t>].</w:t>
      </w:r>
    </w:p>
    <w:p w:rsidR="00C5075E" w:rsidRPr="00AD4EA0" w:rsidRDefault="00C5075E" w:rsidP="00D3659D">
      <w:pPr>
        <w:autoSpaceDE w:val="0"/>
        <w:autoSpaceDN w:val="0"/>
        <w:adjustRightInd w:val="0"/>
        <w:spacing w:after="0" w:line="240" w:lineRule="auto"/>
        <w:ind w:firstLine="720"/>
        <w:jc w:val="both"/>
        <w:rPr>
          <w:rFonts w:asciiTheme="majorBidi" w:hAnsiTheme="majorBidi" w:cstheme="majorBidi"/>
          <w:lang w:bidi="ar-EG"/>
        </w:rPr>
      </w:pPr>
    </w:p>
    <w:p w:rsidR="006C2BF3" w:rsidRPr="00503E95" w:rsidRDefault="006C2BF3" w:rsidP="00503E95">
      <w:pPr>
        <w:autoSpaceDE w:val="0"/>
        <w:autoSpaceDN w:val="0"/>
        <w:adjustRightInd w:val="0"/>
        <w:spacing w:after="0" w:line="240" w:lineRule="auto"/>
        <w:ind w:firstLine="720"/>
        <w:jc w:val="both"/>
        <w:rPr>
          <w:rFonts w:asciiTheme="majorBidi" w:hAnsiTheme="majorBidi" w:cstheme="majorBidi"/>
          <w:color w:val="FF0000"/>
          <w:lang w:bidi="ar-EG"/>
        </w:rPr>
      </w:pPr>
      <w:r w:rsidRPr="00503E95">
        <w:rPr>
          <w:rFonts w:asciiTheme="majorBidi" w:hAnsiTheme="majorBidi" w:cstheme="majorBidi"/>
          <w:color w:val="FF0000"/>
          <w:lang w:bidi="ar-EG"/>
        </w:rPr>
        <w:t xml:space="preserve">This study demonstrated that </w:t>
      </w:r>
      <w:r w:rsidR="00FE7A96" w:rsidRPr="00503E95">
        <w:rPr>
          <w:rFonts w:asciiTheme="majorBidi" w:hAnsiTheme="majorBidi" w:cstheme="majorBidi"/>
          <w:color w:val="FF0000"/>
          <w:lang w:bidi="ar-EG"/>
        </w:rPr>
        <w:t>in infectious group, pleural ADA</w:t>
      </w:r>
      <w:r w:rsidR="00FE7A96" w:rsidRPr="00503E95">
        <w:rPr>
          <w:rFonts w:asciiTheme="majorBidi" w:hAnsiTheme="majorBidi" w:cstheme="majorBidi" w:hint="cs"/>
          <w:color w:val="FF0000"/>
          <w:rtl/>
          <w:lang w:bidi="ar-EG"/>
        </w:rPr>
        <w:t xml:space="preserve"> </w:t>
      </w:r>
      <w:r w:rsidR="00FE7A96" w:rsidRPr="00503E95">
        <w:rPr>
          <w:rFonts w:asciiTheme="majorBidi" w:hAnsiTheme="majorBidi" w:cstheme="majorBidi"/>
          <w:color w:val="FF0000"/>
          <w:lang w:bidi="ar-EG"/>
        </w:rPr>
        <w:t>(</w:t>
      </w:r>
      <w:r w:rsidR="00FE7A96" w:rsidRPr="00503E95">
        <w:rPr>
          <w:rFonts w:cs="Calibri"/>
          <w:color w:val="FF0000"/>
        </w:rPr>
        <w:t>ρ=</w:t>
      </w:r>
      <w:r w:rsidR="00FE7A96" w:rsidRPr="00503E95">
        <w:rPr>
          <w:rFonts w:asciiTheme="majorBidi" w:eastAsia="Times New Roman" w:hAnsiTheme="majorBidi" w:cstheme="majorBidi"/>
          <w:color w:val="FF0000"/>
          <w:highlight w:val="yellow"/>
        </w:rPr>
        <w:t>0.781</w:t>
      </w:r>
      <w:r w:rsidR="00FE7A96" w:rsidRPr="00503E95">
        <w:rPr>
          <w:rFonts w:asciiTheme="majorBidi" w:hAnsiTheme="majorBidi" w:cstheme="majorBidi"/>
          <w:color w:val="FF0000"/>
          <w:sz w:val="24"/>
          <w:szCs w:val="24"/>
        </w:rPr>
        <w:t xml:space="preserve">, </w:t>
      </w:r>
      <w:r w:rsidR="00FE7A96" w:rsidRPr="00503E95">
        <w:rPr>
          <w:rFonts w:asciiTheme="majorBidi" w:hAnsiTheme="majorBidi" w:cstheme="majorBidi"/>
          <w:color w:val="FF0000"/>
          <w:lang w:bidi="ar-EG"/>
        </w:rPr>
        <w:t>p &lt;0.001</w:t>
      </w:r>
      <w:r w:rsidR="00FE7A96" w:rsidRPr="00503E95">
        <w:rPr>
          <w:rFonts w:cs="Calibri"/>
          <w:color w:val="FF0000"/>
        </w:rPr>
        <w:t>)</w:t>
      </w:r>
      <w:r w:rsidR="00FE7A96" w:rsidRPr="00503E95">
        <w:rPr>
          <w:rFonts w:asciiTheme="majorBidi" w:hAnsiTheme="majorBidi" w:cstheme="majorBidi"/>
          <w:color w:val="FF0000"/>
          <w:lang w:bidi="ar-EG"/>
        </w:rPr>
        <w:t xml:space="preserve"> and pleural LDH (</w:t>
      </w:r>
      <w:r w:rsidR="00FE7A96" w:rsidRPr="00503E95">
        <w:rPr>
          <w:rFonts w:cs="Calibri"/>
          <w:color w:val="FF0000"/>
        </w:rPr>
        <w:t>ρ=</w:t>
      </w:r>
      <w:r w:rsidR="00FE7A96" w:rsidRPr="00503E95">
        <w:rPr>
          <w:rFonts w:asciiTheme="majorBidi" w:eastAsia="Times New Roman" w:hAnsiTheme="majorBidi" w:cstheme="majorBidi"/>
          <w:color w:val="FF0000"/>
        </w:rPr>
        <w:t>0.709</w:t>
      </w:r>
      <w:r w:rsidR="00FE7A96" w:rsidRPr="00503E95">
        <w:rPr>
          <w:rFonts w:asciiTheme="majorBidi" w:hAnsiTheme="majorBidi" w:cstheme="majorBidi"/>
          <w:color w:val="FF0000"/>
          <w:sz w:val="24"/>
          <w:szCs w:val="24"/>
        </w:rPr>
        <w:t xml:space="preserve">, </w:t>
      </w:r>
      <w:r w:rsidR="00FE7A96" w:rsidRPr="00503E95">
        <w:rPr>
          <w:rFonts w:asciiTheme="majorBidi" w:hAnsiTheme="majorBidi" w:cstheme="majorBidi"/>
          <w:color w:val="FF0000"/>
          <w:lang w:bidi="ar-EG"/>
        </w:rPr>
        <w:t xml:space="preserve">p </w:t>
      </w:r>
      <w:r w:rsidR="00FE7A96" w:rsidRPr="00503E95">
        <w:rPr>
          <w:rFonts w:asciiTheme="majorBidi" w:eastAsia="Times New Roman" w:hAnsiTheme="majorBidi" w:cstheme="majorBidi"/>
          <w:color w:val="FF0000"/>
        </w:rPr>
        <w:t>&lt;0.001</w:t>
      </w:r>
      <w:r w:rsidR="00FE7A96" w:rsidRPr="00503E95">
        <w:rPr>
          <w:rFonts w:cs="Calibri"/>
          <w:color w:val="FF0000"/>
        </w:rPr>
        <w:t xml:space="preserve">) </w:t>
      </w:r>
      <w:r w:rsidR="00FE7A96" w:rsidRPr="00503E95">
        <w:rPr>
          <w:rFonts w:asciiTheme="majorBidi" w:hAnsiTheme="majorBidi" w:cstheme="majorBidi"/>
          <w:color w:val="FF0000"/>
          <w:lang w:bidi="ar-EG"/>
        </w:rPr>
        <w:t xml:space="preserve">had a highly significant positive </w:t>
      </w:r>
      <w:r w:rsidR="00FE7A96" w:rsidRPr="00503E95">
        <w:rPr>
          <w:rFonts w:asciiTheme="majorBidi" w:hAnsiTheme="majorBidi" w:cstheme="majorBidi"/>
          <w:color w:val="FF0000"/>
          <w:highlight w:val="yellow"/>
        </w:rPr>
        <w:t>correlation</w:t>
      </w:r>
      <w:r w:rsidR="00FE7A96" w:rsidRPr="00503E95">
        <w:rPr>
          <w:rFonts w:asciiTheme="majorBidi" w:hAnsiTheme="majorBidi" w:cstheme="majorBidi"/>
          <w:color w:val="FF0000"/>
          <w:lang w:bidi="ar-EG"/>
        </w:rPr>
        <w:t xml:space="preserve"> to pleural IL36 γ, while tuberculin s</w:t>
      </w:r>
      <w:r w:rsidR="00503E95">
        <w:rPr>
          <w:rFonts w:asciiTheme="majorBidi" w:hAnsiTheme="majorBidi" w:cstheme="majorBidi"/>
          <w:color w:val="FF0000"/>
          <w:lang w:bidi="ar-EG"/>
        </w:rPr>
        <w:t>k</w:t>
      </w:r>
      <w:r w:rsidR="00FE7A96" w:rsidRPr="00503E95">
        <w:rPr>
          <w:rFonts w:asciiTheme="majorBidi" w:hAnsiTheme="majorBidi" w:cstheme="majorBidi"/>
          <w:color w:val="FF0000"/>
          <w:lang w:bidi="ar-EG"/>
        </w:rPr>
        <w:t>in test (</w:t>
      </w:r>
      <w:r w:rsidR="00FE7A96" w:rsidRPr="00503E95">
        <w:rPr>
          <w:rFonts w:cs="Calibri"/>
          <w:color w:val="FF0000"/>
        </w:rPr>
        <w:t>ρ=</w:t>
      </w:r>
      <w:r w:rsidR="00FE7A96" w:rsidRPr="00503E95">
        <w:rPr>
          <w:rFonts w:asciiTheme="majorBidi" w:eastAsia="Times New Roman" w:hAnsiTheme="majorBidi" w:cstheme="majorBidi"/>
          <w:color w:val="FF0000"/>
        </w:rPr>
        <w:t xml:space="preserve"> </w:t>
      </w:r>
      <w:r w:rsidR="00FE7A96" w:rsidRPr="00503E95">
        <w:rPr>
          <w:rFonts w:asciiTheme="majorBidi" w:hAnsiTheme="majorBidi" w:cstheme="majorBidi"/>
          <w:color w:val="FF0000"/>
          <w:lang w:bidi="ar-EG"/>
        </w:rPr>
        <w:t>0.005, p =0.969) had</w:t>
      </w:r>
      <w:r w:rsidR="00FE7A96" w:rsidRPr="00503E95">
        <w:rPr>
          <w:rFonts w:cs="Calibri"/>
          <w:color w:val="FF0000"/>
        </w:rPr>
        <w:t xml:space="preserve"> </w:t>
      </w:r>
      <w:r w:rsidR="00FE7A96" w:rsidRPr="00503E95">
        <w:rPr>
          <w:rFonts w:asciiTheme="majorBidi" w:hAnsiTheme="majorBidi" w:cstheme="majorBidi"/>
          <w:color w:val="FF0000"/>
          <w:lang w:bidi="ar-EG"/>
        </w:rPr>
        <w:t>very week correlation</w:t>
      </w:r>
      <w:r w:rsidR="00FE7A96" w:rsidRPr="00503E95">
        <w:rPr>
          <w:rFonts w:cs="Calibri"/>
          <w:color w:val="FF0000"/>
        </w:rPr>
        <w:t xml:space="preserve"> </w:t>
      </w:r>
      <w:r w:rsidR="00FE7A96" w:rsidRPr="00503E95">
        <w:rPr>
          <w:rFonts w:asciiTheme="majorBidi" w:hAnsiTheme="majorBidi" w:cstheme="majorBidi"/>
          <w:color w:val="FF0000"/>
          <w:lang w:bidi="ar-EG"/>
        </w:rPr>
        <w:t xml:space="preserve">to pleural IL36 γ. However, in </w:t>
      </w:r>
      <w:proofErr w:type="spellStart"/>
      <w:r w:rsidR="00FE7A96" w:rsidRPr="00503E95">
        <w:rPr>
          <w:rFonts w:asciiTheme="majorBidi" w:hAnsiTheme="majorBidi" w:cstheme="majorBidi"/>
          <w:color w:val="FF0000"/>
          <w:lang w:bidi="ar-EG"/>
        </w:rPr>
        <w:t>non infectious</w:t>
      </w:r>
      <w:proofErr w:type="spellEnd"/>
      <w:r w:rsidR="00FE7A96" w:rsidRPr="00503E95">
        <w:rPr>
          <w:rFonts w:asciiTheme="majorBidi" w:hAnsiTheme="majorBidi" w:cstheme="majorBidi"/>
          <w:color w:val="FF0000"/>
          <w:lang w:bidi="ar-EG"/>
        </w:rPr>
        <w:t xml:space="preserve"> group pleural ADA</w:t>
      </w:r>
      <w:r w:rsidR="00FE7A96" w:rsidRPr="00503E95">
        <w:rPr>
          <w:rFonts w:asciiTheme="majorBidi" w:hAnsiTheme="majorBidi" w:cstheme="majorBidi" w:hint="cs"/>
          <w:color w:val="FF0000"/>
          <w:rtl/>
          <w:lang w:bidi="ar-EG"/>
        </w:rPr>
        <w:t xml:space="preserve"> </w:t>
      </w:r>
      <w:r w:rsidR="00FE7A96" w:rsidRPr="00503E95">
        <w:rPr>
          <w:rFonts w:asciiTheme="majorBidi" w:hAnsiTheme="majorBidi" w:cstheme="majorBidi"/>
          <w:color w:val="FF0000"/>
          <w:lang w:bidi="ar-EG"/>
        </w:rPr>
        <w:t>(</w:t>
      </w:r>
      <w:r w:rsidR="00FE7A96" w:rsidRPr="00503E95">
        <w:rPr>
          <w:rFonts w:cs="Calibri"/>
          <w:color w:val="FF0000"/>
        </w:rPr>
        <w:t>ρ=</w:t>
      </w:r>
      <w:r w:rsidR="00FE7A96" w:rsidRPr="00503E95">
        <w:rPr>
          <w:rFonts w:asciiTheme="majorBidi" w:eastAsia="Times New Roman" w:hAnsiTheme="majorBidi" w:cstheme="majorBidi"/>
          <w:color w:val="FF0000"/>
          <w:highlight w:val="yellow"/>
        </w:rPr>
        <w:t>0.524</w:t>
      </w:r>
      <w:r w:rsidR="00FE7A96" w:rsidRPr="00503E95">
        <w:rPr>
          <w:rFonts w:asciiTheme="majorBidi" w:hAnsiTheme="majorBidi" w:cstheme="majorBidi"/>
          <w:color w:val="FF0000"/>
          <w:sz w:val="24"/>
          <w:szCs w:val="24"/>
        </w:rPr>
        <w:t xml:space="preserve">, </w:t>
      </w:r>
      <w:r w:rsidR="00FE7A96" w:rsidRPr="00503E95">
        <w:rPr>
          <w:rFonts w:asciiTheme="majorBidi" w:hAnsiTheme="majorBidi" w:cstheme="majorBidi"/>
          <w:color w:val="FF0000"/>
          <w:lang w:bidi="ar-EG"/>
        </w:rPr>
        <w:t>p &lt;0.001</w:t>
      </w:r>
      <w:r w:rsidR="00FE7A96" w:rsidRPr="00503E95">
        <w:rPr>
          <w:rFonts w:cs="Calibri"/>
          <w:color w:val="FF0000"/>
        </w:rPr>
        <w:t>)</w:t>
      </w:r>
      <w:r w:rsidR="00FE7A96" w:rsidRPr="00503E95">
        <w:rPr>
          <w:rFonts w:asciiTheme="majorBidi" w:hAnsiTheme="majorBidi" w:cstheme="majorBidi"/>
          <w:color w:val="FF0000"/>
          <w:lang w:bidi="ar-EG"/>
        </w:rPr>
        <w:t xml:space="preserve"> and pleural LDH (</w:t>
      </w:r>
      <w:r w:rsidR="00FE7A96" w:rsidRPr="00503E95">
        <w:rPr>
          <w:rFonts w:cs="Calibri"/>
          <w:color w:val="FF0000"/>
        </w:rPr>
        <w:t>ρ=</w:t>
      </w:r>
      <w:r w:rsidR="00FE7A96" w:rsidRPr="00503E95">
        <w:rPr>
          <w:rFonts w:asciiTheme="majorBidi" w:eastAsia="Times New Roman" w:hAnsiTheme="majorBidi" w:cstheme="majorBidi"/>
          <w:color w:val="FF0000"/>
        </w:rPr>
        <w:t>0.739</w:t>
      </w:r>
      <w:r w:rsidR="00FE7A96" w:rsidRPr="00503E95">
        <w:rPr>
          <w:rFonts w:asciiTheme="majorBidi" w:hAnsiTheme="majorBidi" w:cstheme="majorBidi"/>
          <w:color w:val="FF0000"/>
          <w:sz w:val="24"/>
          <w:szCs w:val="24"/>
        </w:rPr>
        <w:t xml:space="preserve">, </w:t>
      </w:r>
      <w:r w:rsidR="00FE7A96" w:rsidRPr="00503E95">
        <w:rPr>
          <w:rFonts w:asciiTheme="majorBidi" w:hAnsiTheme="majorBidi" w:cstheme="majorBidi"/>
          <w:color w:val="FF0000"/>
          <w:lang w:bidi="ar-EG"/>
        </w:rPr>
        <w:t xml:space="preserve">p </w:t>
      </w:r>
      <w:r w:rsidR="00FE7A96" w:rsidRPr="00503E95">
        <w:rPr>
          <w:rFonts w:asciiTheme="majorBidi" w:eastAsia="Times New Roman" w:hAnsiTheme="majorBidi" w:cstheme="majorBidi"/>
          <w:color w:val="FF0000"/>
        </w:rPr>
        <w:t>&lt;0.001</w:t>
      </w:r>
      <w:r w:rsidR="00FE7A96" w:rsidRPr="00503E95">
        <w:rPr>
          <w:rFonts w:cs="Calibri"/>
          <w:color w:val="FF0000"/>
        </w:rPr>
        <w:t xml:space="preserve">) </w:t>
      </w:r>
      <w:r w:rsidR="00FE7A96" w:rsidRPr="00503E95">
        <w:rPr>
          <w:rFonts w:asciiTheme="majorBidi" w:hAnsiTheme="majorBidi" w:cstheme="majorBidi"/>
          <w:color w:val="FF0000"/>
          <w:lang w:bidi="ar-EG"/>
        </w:rPr>
        <w:t xml:space="preserve">had a highly significant positive </w:t>
      </w:r>
      <w:r w:rsidR="00FE7A96" w:rsidRPr="00503E95">
        <w:rPr>
          <w:rFonts w:asciiTheme="majorBidi" w:hAnsiTheme="majorBidi" w:cstheme="majorBidi"/>
          <w:color w:val="FF0000"/>
          <w:highlight w:val="yellow"/>
        </w:rPr>
        <w:t>correlation</w:t>
      </w:r>
      <w:r w:rsidR="00FE7A96" w:rsidRPr="00503E95">
        <w:rPr>
          <w:rFonts w:asciiTheme="majorBidi" w:hAnsiTheme="majorBidi" w:cstheme="majorBidi"/>
          <w:color w:val="FF0000"/>
          <w:lang w:bidi="ar-EG"/>
        </w:rPr>
        <w:t xml:space="preserve"> to pleural IL36 γ</w:t>
      </w:r>
      <w:r w:rsidR="00244070" w:rsidRPr="00503E95">
        <w:rPr>
          <w:rFonts w:asciiTheme="majorBidi" w:hAnsiTheme="majorBidi" w:cstheme="majorBidi"/>
          <w:color w:val="FF0000"/>
          <w:lang w:bidi="ar-EG"/>
        </w:rPr>
        <w:t xml:space="preserve"> </w:t>
      </w:r>
      <w:r w:rsidR="002D2B89" w:rsidRPr="00503E95">
        <w:rPr>
          <w:rFonts w:asciiTheme="majorBidi" w:eastAsia="Times New Roman" w:hAnsiTheme="majorBidi" w:cstheme="majorBidi"/>
          <w:b/>
          <w:bCs/>
          <w:color w:val="FF0000"/>
        </w:rPr>
        <w:t>(Table 5</w:t>
      </w:r>
      <w:r w:rsidR="00AC2D50" w:rsidRPr="00503E95">
        <w:rPr>
          <w:rFonts w:asciiTheme="majorBidi" w:eastAsia="Times New Roman" w:hAnsiTheme="majorBidi" w:cstheme="majorBidi"/>
          <w:b/>
          <w:bCs/>
          <w:color w:val="FF0000"/>
        </w:rPr>
        <w:t>).</w:t>
      </w:r>
    </w:p>
    <w:p w:rsidR="00F56F99" w:rsidRPr="00AD4EA0" w:rsidRDefault="00F51E66" w:rsidP="00C5075E">
      <w:pPr>
        <w:autoSpaceDE w:val="0"/>
        <w:autoSpaceDN w:val="0"/>
        <w:adjustRightInd w:val="0"/>
        <w:spacing w:after="0" w:line="240" w:lineRule="auto"/>
        <w:ind w:firstLine="720"/>
        <w:jc w:val="both"/>
        <w:rPr>
          <w:rFonts w:asciiTheme="majorBidi" w:hAnsiTheme="majorBidi" w:cstheme="majorBidi"/>
          <w:lang w:bidi="ar-EG"/>
        </w:rPr>
      </w:pPr>
      <w:proofErr w:type="spellStart"/>
      <w:r w:rsidRPr="00F51E66">
        <w:rPr>
          <w:rFonts w:asciiTheme="majorBidi" w:eastAsia="Times New Roman" w:hAnsiTheme="majorBidi" w:cstheme="majorBidi"/>
        </w:rPr>
        <w:t>Guo</w:t>
      </w:r>
      <w:proofErr w:type="spellEnd"/>
      <w:r w:rsidRPr="00F51E66">
        <w:rPr>
          <w:rFonts w:asciiTheme="majorBidi" w:eastAsia="Times New Roman" w:hAnsiTheme="majorBidi" w:cstheme="majorBidi"/>
        </w:rPr>
        <w:t xml:space="preserve"> et al.'s data, which indicated that IL-36γ levels in pleural fluid were favorably correlated with LDH (r = 0.7189, p &lt; 0.0001) in PPE, were in agreement with this. In TPE patients, there is a positive correlation between pleural IL-36γ and pleural ADA (r = 0.4022, p = 0.0375). </w:t>
      </w:r>
      <w:r w:rsidR="00BE04A5">
        <w:rPr>
          <w:rFonts w:asciiTheme="majorBidi" w:hAnsiTheme="majorBidi" w:cstheme="majorBidi"/>
          <w:lang w:bidi="ar-EG"/>
        </w:rPr>
        <w:t>[18</w:t>
      </w:r>
      <w:r w:rsidR="00F56F99" w:rsidRPr="00AD4EA0">
        <w:rPr>
          <w:rFonts w:asciiTheme="majorBidi" w:hAnsiTheme="majorBidi" w:cstheme="majorBidi"/>
          <w:lang w:bidi="ar-EG"/>
        </w:rPr>
        <w:t>].</w:t>
      </w:r>
    </w:p>
    <w:p w:rsidR="00EE40C3" w:rsidRPr="004A30B5" w:rsidRDefault="008B4550" w:rsidP="00D3659D">
      <w:pPr>
        <w:spacing w:line="240" w:lineRule="auto"/>
        <w:ind w:firstLine="720"/>
        <w:jc w:val="both"/>
        <w:rPr>
          <w:rFonts w:asciiTheme="majorBidi" w:hAnsiTheme="majorBidi" w:cstheme="majorBidi"/>
          <w:b/>
          <w:bCs/>
          <w:color w:val="FF0000"/>
          <w:lang w:bidi="ar-EG"/>
        </w:rPr>
      </w:pPr>
      <w:r w:rsidRPr="004A30B5">
        <w:rPr>
          <w:rFonts w:asciiTheme="majorBidi" w:hAnsiTheme="majorBidi" w:cstheme="majorBidi"/>
          <w:color w:val="FF0000"/>
          <w:highlight w:val="yellow"/>
          <w:lang w:bidi="ar-EG"/>
        </w:rPr>
        <w:t>The diagnostic cutoff value for diagnosing TPE vs Non TPE was ≥457.58 (p=0.001)</w:t>
      </w:r>
      <w:r w:rsidRPr="004A30B5">
        <w:rPr>
          <w:rFonts w:asciiTheme="majorBidi" w:hAnsiTheme="majorBidi" w:cstheme="majorBidi"/>
          <w:color w:val="FF0000"/>
          <w:lang w:bidi="ar-EG"/>
        </w:rPr>
        <w:t>, with 100% sensitivity, 75% specificity, 95% CI</w:t>
      </w:r>
      <w:r w:rsidRPr="004A30B5">
        <w:rPr>
          <w:rFonts w:asciiTheme="majorBidi" w:hAnsiTheme="majorBidi" w:cstheme="majorBidi"/>
          <w:color w:val="FF0000"/>
          <w:highlight w:val="yellow"/>
          <w:lang w:bidi="ar-EG"/>
        </w:rPr>
        <w:t>=</w:t>
      </w:r>
      <w:r w:rsidRPr="004A30B5">
        <w:rPr>
          <w:rFonts w:asciiTheme="majorBidi" w:hAnsiTheme="majorBidi" w:cstheme="majorBidi"/>
          <w:color w:val="FF0000"/>
          <w:lang w:bidi="ar-EG"/>
        </w:rPr>
        <w:t xml:space="preserve"> </w:t>
      </w:r>
      <w:r w:rsidRPr="004A30B5">
        <w:rPr>
          <w:rFonts w:asciiTheme="majorBidi" w:eastAsia="Times New Roman" w:hAnsiTheme="majorBidi" w:cstheme="majorBidi"/>
          <w:color w:val="FF0000"/>
        </w:rPr>
        <w:t xml:space="preserve">0.655- 0.845 and </w:t>
      </w:r>
      <w:r w:rsidRPr="004A30B5">
        <w:rPr>
          <w:rFonts w:asciiTheme="majorBidi" w:hAnsiTheme="majorBidi" w:cstheme="majorBidi"/>
          <w:color w:val="FF0000"/>
          <w:highlight w:val="yellow"/>
          <w:lang w:bidi="ar-EG"/>
        </w:rPr>
        <w:t>AUC=</w:t>
      </w:r>
      <w:r w:rsidRPr="004A30B5">
        <w:rPr>
          <w:rFonts w:asciiTheme="majorBidi" w:eastAsia="Times New Roman" w:hAnsiTheme="majorBidi" w:cstheme="majorBidi"/>
          <w:color w:val="FF0000"/>
        </w:rPr>
        <w:t>0.750,</w:t>
      </w:r>
      <w:r w:rsidRPr="004A30B5">
        <w:rPr>
          <w:rFonts w:asciiTheme="majorBidi" w:hAnsiTheme="majorBidi" w:cstheme="majorBidi"/>
          <w:color w:val="FF0000"/>
          <w:lang w:bidi="ar-EG"/>
        </w:rPr>
        <w:t xml:space="preserve"> that of </w:t>
      </w:r>
      <w:r w:rsidRPr="004A30B5">
        <w:rPr>
          <w:rFonts w:asciiTheme="majorBidi" w:eastAsia="Times New Roman" w:hAnsiTheme="majorBidi" w:cstheme="majorBidi"/>
          <w:color w:val="FF0000"/>
        </w:rPr>
        <w:t xml:space="preserve">TPE vs UPPE was ≥391.09 with </w:t>
      </w:r>
      <w:r w:rsidRPr="004A30B5">
        <w:rPr>
          <w:rFonts w:asciiTheme="majorBidi" w:hAnsiTheme="majorBidi" w:cstheme="majorBidi"/>
          <w:color w:val="FF0000"/>
          <w:lang w:bidi="ar-EG"/>
        </w:rPr>
        <w:t>100% sensitivity and 95% specificity, 95% CI</w:t>
      </w:r>
      <w:r w:rsidRPr="004A30B5">
        <w:rPr>
          <w:rFonts w:asciiTheme="majorBidi" w:hAnsiTheme="majorBidi" w:cstheme="majorBidi"/>
          <w:color w:val="FF0000"/>
          <w:highlight w:val="yellow"/>
          <w:lang w:bidi="ar-EG"/>
        </w:rPr>
        <w:t>=</w:t>
      </w:r>
      <w:r w:rsidRPr="004A30B5">
        <w:rPr>
          <w:rFonts w:asciiTheme="majorBidi" w:hAnsiTheme="majorBidi" w:cstheme="majorBidi"/>
          <w:color w:val="FF0000"/>
          <w:lang w:bidi="ar-EG"/>
        </w:rPr>
        <w:t xml:space="preserve"> </w:t>
      </w:r>
      <w:r w:rsidRPr="004A30B5">
        <w:rPr>
          <w:rFonts w:asciiTheme="majorBidi" w:eastAsia="Times New Roman" w:hAnsiTheme="majorBidi" w:cstheme="majorBidi"/>
          <w:color w:val="FF0000"/>
        </w:rPr>
        <w:t xml:space="preserve">1.0 -1.0 and </w:t>
      </w:r>
      <w:r w:rsidRPr="004A30B5">
        <w:rPr>
          <w:rFonts w:asciiTheme="majorBidi" w:hAnsiTheme="majorBidi" w:cstheme="majorBidi"/>
          <w:color w:val="FF0000"/>
          <w:highlight w:val="yellow"/>
          <w:lang w:bidi="ar-EG"/>
        </w:rPr>
        <w:t>AUC=</w:t>
      </w:r>
      <w:r w:rsidRPr="004A30B5">
        <w:rPr>
          <w:rFonts w:asciiTheme="majorBidi" w:eastAsia="Times New Roman" w:hAnsiTheme="majorBidi" w:cstheme="majorBidi"/>
          <w:color w:val="FF0000"/>
        </w:rPr>
        <w:t xml:space="preserve">1.0 </w:t>
      </w:r>
      <w:r w:rsidRPr="004A30B5">
        <w:rPr>
          <w:rFonts w:asciiTheme="majorBidi" w:hAnsiTheme="majorBidi" w:cstheme="majorBidi"/>
          <w:color w:val="FF0000"/>
          <w:lang w:bidi="ar-EG"/>
        </w:rPr>
        <w:t xml:space="preserve">and the cutoff point of IL36 γ for differentiating infectious from non-infectious pleural effusion was ≥186.95 </w:t>
      </w:r>
      <w:proofErr w:type="spellStart"/>
      <w:r w:rsidRPr="004A30B5">
        <w:rPr>
          <w:rFonts w:asciiTheme="majorBidi" w:hAnsiTheme="majorBidi" w:cstheme="majorBidi"/>
          <w:color w:val="FF0000"/>
          <w:lang w:bidi="ar-EG"/>
        </w:rPr>
        <w:t>pg</w:t>
      </w:r>
      <w:proofErr w:type="spellEnd"/>
      <w:r w:rsidRPr="004A30B5">
        <w:rPr>
          <w:rFonts w:asciiTheme="majorBidi" w:hAnsiTheme="majorBidi" w:cstheme="majorBidi"/>
          <w:color w:val="FF0000"/>
          <w:lang w:bidi="ar-EG"/>
        </w:rPr>
        <w:t xml:space="preserve">/ml with 100% sensitivity and </w:t>
      </w:r>
      <w:r w:rsidRPr="004A30B5">
        <w:rPr>
          <w:rFonts w:asciiTheme="majorBidi" w:hAnsiTheme="majorBidi" w:cstheme="majorBidi"/>
          <w:color w:val="FF0000"/>
          <w:lang w:bidi="ar-EG"/>
        </w:rPr>
        <w:lastRenderedPageBreak/>
        <w:t>98% specificity (p=0.000) 95% CI</w:t>
      </w:r>
      <w:r w:rsidRPr="004A30B5">
        <w:rPr>
          <w:rFonts w:asciiTheme="majorBidi" w:hAnsiTheme="majorBidi" w:cstheme="majorBidi"/>
          <w:color w:val="FF0000"/>
          <w:highlight w:val="yellow"/>
          <w:lang w:bidi="ar-EG"/>
        </w:rPr>
        <w:t>=</w:t>
      </w:r>
      <w:r w:rsidRPr="004A30B5">
        <w:rPr>
          <w:rFonts w:asciiTheme="majorBidi" w:hAnsiTheme="majorBidi" w:cstheme="majorBidi"/>
          <w:color w:val="FF0000"/>
          <w:lang w:bidi="ar-EG"/>
        </w:rPr>
        <w:t xml:space="preserve"> </w:t>
      </w:r>
      <w:r w:rsidRPr="004A30B5">
        <w:rPr>
          <w:rFonts w:asciiTheme="majorBidi" w:eastAsia="Times New Roman" w:hAnsiTheme="majorBidi" w:cstheme="majorBidi"/>
          <w:color w:val="FF0000"/>
        </w:rPr>
        <w:t xml:space="preserve">0.997-1.0 and </w:t>
      </w:r>
      <w:r w:rsidRPr="004A30B5">
        <w:rPr>
          <w:rFonts w:asciiTheme="majorBidi" w:hAnsiTheme="majorBidi" w:cstheme="majorBidi"/>
          <w:color w:val="FF0000"/>
          <w:highlight w:val="yellow"/>
          <w:lang w:bidi="ar-EG"/>
        </w:rPr>
        <w:t>AUC=</w:t>
      </w:r>
      <w:r w:rsidRPr="004A30B5">
        <w:rPr>
          <w:rFonts w:asciiTheme="majorBidi" w:hAnsiTheme="majorBidi" w:cstheme="majorBidi"/>
          <w:color w:val="FF0000"/>
          <w:lang w:bidi="ar-EG"/>
        </w:rPr>
        <w:t xml:space="preserve"> </w:t>
      </w:r>
      <w:r w:rsidRPr="004A30B5">
        <w:rPr>
          <w:rFonts w:asciiTheme="majorBidi" w:eastAsia="Times New Roman" w:hAnsiTheme="majorBidi" w:cstheme="majorBidi"/>
          <w:color w:val="FF0000"/>
        </w:rPr>
        <w:t>0.999</w:t>
      </w:r>
      <w:r w:rsidRPr="004A30B5">
        <w:rPr>
          <w:rFonts w:asciiTheme="majorBidi" w:hAnsiTheme="majorBidi" w:cstheme="majorBidi"/>
          <w:b/>
          <w:bCs/>
          <w:color w:val="FF0000"/>
          <w:lang w:bidi="ar-EG"/>
        </w:rPr>
        <w:t xml:space="preserve"> </w:t>
      </w:r>
      <w:r w:rsidR="002D2B89" w:rsidRPr="004A30B5">
        <w:rPr>
          <w:rFonts w:asciiTheme="majorBidi" w:hAnsiTheme="majorBidi" w:cstheme="majorBidi"/>
          <w:b/>
          <w:bCs/>
          <w:color w:val="FF0000"/>
          <w:lang w:bidi="ar-EG"/>
        </w:rPr>
        <w:t>(Table 6</w:t>
      </w:r>
      <w:r w:rsidR="002B3CBB" w:rsidRPr="004A30B5">
        <w:rPr>
          <w:rFonts w:asciiTheme="majorBidi" w:hAnsiTheme="majorBidi" w:cstheme="majorBidi"/>
          <w:b/>
          <w:bCs/>
          <w:color w:val="FF0000"/>
          <w:lang w:bidi="ar-EG"/>
        </w:rPr>
        <w:t>).</w:t>
      </w:r>
    </w:p>
    <w:p w:rsidR="008B4550" w:rsidRPr="00370EBA" w:rsidRDefault="008B4550" w:rsidP="008B4550">
      <w:pPr>
        <w:spacing w:line="240" w:lineRule="auto"/>
        <w:ind w:firstLine="720"/>
        <w:jc w:val="both"/>
        <w:rPr>
          <w:rFonts w:asciiTheme="majorBidi" w:eastAsia="Times New Roman" w:hAnsiTheme="majorBidi" w:cstheme="majorBidi"/>
          <w:color w:val="FF0000"/>
        </w:rPr>
      </w:pPr>
      <w:r w:rsidRPr="00370EBA">
        <w:rPr>
          <w:rFonts w:asciiTheme="majorBidi" w:eastAsia="Times New Roman" w:hAnsiTheme="majorBidi" w:cstheme="majorBidi"/>
          <w:color w:val="FF0000"/>
        </w:rPr>
        <w:t xml:space="preserve">Depending on the previous data, </w:t>
      </w:r>
      <w:r w:rsidRPr="00370EBA">
        <w:rPr>
          <w:rFonts w:asciiTheme="majorBidi" w:hAnsiTheme="majorBidi" w:cstheme="majorBidi"/>
          <w:color w:val="FF0000"/>
          <w:lang w:bidi="ar-EG"/>
        </w:rPr>
        <w:t>IL36 γ</w:t>
      </w:r>
      <w:r w:rsidRPr="00370EBA">
        <w:rPr>
          <w:rFonts w:asciiTheme="majorBidi" w:eastAsia="Times New Roman" w:hAnsiTheme="majorBidi" w:cstheme="majorBidi"/>
          <w:color w:val="FF0000"/>
        </w:rPr>
        <w:t xml:space="preserve"> was better to differentiate </w:t>
      </w:r>
      <w:r w:rsidRPr="00370EBA">
        <w:rPr>
          <w:rFonts w:asciiTheme="majorBidi" w:hAnsiTheme="majorBidi" w:cstheme="majorBidi"/>
          <w:color w:val="FF0000"/>
          <w:lang w:bidi="ar-EG"/>
        </w:rPr>
        <w:t xml:space="preserve">infectious from non-infectious pleural effusion </w:t>
      </w:r>
      <w:r w:rsidRPr="00370EBA">
        <w:rPr>
          <w:rFonts w:asciiTheme="majorBidi" w:eastAsia="Times New Roman" w:hAnsiTheme="majorBidi" w:cstheme="majorBidi"/>
          <w:color w:val="FF0000"/>
        </w:rPr>
        <w:t xml:space="preserve">as </w:t>
      </w:r>
      <w:r w:rsidRPr="00370EBA">
        <w:rPr>
          <w:rFonts w:asciiTheme="majorBidi" w:hAnsiTheme="majorBidi" w:cstheme="majorBidi"/>
          <w:color w:val="FF0000"/>
          <w:lang w:bidi="ar-EG"/>
        </w:rPr>
        <w:t xml:space="preserve">sensitivity was 100%, specificity was 98%, p value was 0.000), 95% CI was </w:t>
      </w:r>
      <w:r w:rsidRPr="00370EBA">
        <w:rPr>
          <w:rFonts w:asciiTheme="majorBidi" w:eastAsia="Times New Roman" w:hAnsiTheme="majorBidi" w:cstheme="majorBidi"/>
          <w:color w:val="FF0000"/>
        </w:rPr>
        <w:t xml:space="preserve">0.997-1.0 and </w:t>
      </w:r>
      <w:r w:rsidRPr="00370EBA">
        <w:rPr>
          <w:rFonts w:asciiTheme="majorBidi" w:hAnsiTheme="majorBidi" w:cstheme="majorBidi"/>
          <w:color w:val="FF0000"/>
          <w:highlight w:val="yellow"/>
          <w:lang w:bidi="ar-EG"/>
        </w:rPr>
        <w:t>AUC</w:t>
      </w:r>
      <w:r w:rsidRPr="00370EBA">
        <w:rPr>
          <w:rFonts w:asciiTheme="majorBidi" w:hAnsiTheme="majorBidi" w:cstheme="majorBidi"/>
          <w:color w:val="FF0000"/>
          <w:lang w:bidi="ar-EG"/>
        </w:rPr>
        <w:t xml:space="preserve"> was </w:t>
      </w:r>
      <w:r w:rsidRPr="00370EBA">
        <w:rPr>
          <w:rFonts w:asciiTheme="majorBidi" w:eastAsia="Times New Roman" w:hAnsiTheme="majorBidi" w:cstheme="majorBidi"/>
          <w:color w:val="FF0000"/>
        </w:rPr>
        <w:t>0.999</w:t>
      </w:r>
      <w:r w:rsidRPr="00370EBA">
        <w:rPr>
          <w:rFonts w:asciiTheme="majorBidi" w:hAnsiTheme="majorBidi" w:cstheme="majorBidi"/>
          <w:b/>
          <w:bCs/>
          <w:color w:val="FF0000"/>
          <w:lang w:bidi="ar-EG"/>
        </w:rPr>
        <w:t>.</w:t>
      </w:r>
    </w:p>
    <w:p w:rsidR="00F56F99" w:rsidRDefault="00F51E66" w:rsidP="00D3659D">
      <w:pPr>
        <w:autoSpaceDE w:val="0"/>
        <w:autoSpaceDN w:val="0"/>
        <w:adjustRightInd w:val="0"/>
        <w:spacing w:after="0" w:line="240" w:lineRule="auto"/>
        <w:ind w:firstLine="720"/>
        <w:jc w:val="both"/>
        <w:rPr>
          <w:rFonts w:asciiTheme="majorBidi" w:hAnsiTheme="majorBidi" w:cstheme="majorBidi"/>
          <w:rtl/>
          <w:lang w:bidi="ar-EG"/>
        </w:rPr>
      </w:pPr>
      <w:r w:rsidRPr="00F51E66">
        <w:rPr>
          <w:rFonts w:asciiTheme="majorBidi" w:hAnsiTheme="majorBidi" w:cstheme="majorBidi"/>
          <w:lang w:bidi="ar-EG"/>
        </w:rPr>
        <w:t xml:space="preserve">This was in line with </w:t>
      </w:r>
      <w:proofErr w:type="spellStart"/>
      <w:r w:rsidRPr="00F51E66">
        <w:rPr>
          <w:rFonts w:asciiTheme="majorBidi" w:hAnsiTheme="majorBidi" w:cstheme="majorBidi"/>
          <w:lang w:bidi="ar-EG"/>
        </w:rPr>
        <w:t>Guo</w:t>
      </w:r>
      <w:proofErr w:type="spellEnd"/>
      <w:r w:rsidRPr="00F51E66">
        <w:rPr>
          <w:rFonts w:asciiTheme="majorBidi" w:hAnsiTheme="majorBidi" w:cstheme="majorBidi"/>
          <w:lang w:bidi="ar-EG"/>
        </w:rPr>
        <w:t xml:space="preserve"> et al.'s assessment of the usefulness of pleural fluid IL-36γ in using ROC curves to distinguish UPPE from CPPE/empyema, TPE from UPPE, and IPE (PPE and TPE) from NIPE (MPE and transudate). The AUCs were 0.904 (p = 0.0278), 0.904 (p &lt; 0.0001), and 1 (p = 0.0001), respectively. For the purpose of discriminating between IPE and NIPE, TPE and UPPE, and UPPE and CPPE/empyema, the ideal cut-off values for IL-36γ were 293.0 </w:t>
      </w:r>
      <w:proofErr w:type="spellStart"/>
      <w:r w:rsidRPr="00F51E66">
        <w:rPr>
          <w:rFonts w:asciiTheme="majorBidi" w:hAnsiTheme="majorBidi" w:cstheme="majorBidi"/>
          <w:lang w:bidi="ar-EG"/>
        </w:rPr>
        <w:t>pg</w:t>
      </w:r>
      <w:proofErr w:type="spellEnd"/>
      <w:r w:rsidRPr="00F51E66">
        <w:rPr>
          <w:rFonts w:asciiTheme="majorBidi" w:hAnsiTheme="majorBidi" w:cstheme="majorBidi"/>
          <w:lang w:bidi="ar-EG"/>
        </w:rPr>
        <w:t xml:space="preserve">/ml, 657.5 </w:t>
      </w:r>
      <w:proofErr w:type="spellStart"/>
      <w:r w:rsidRPr="00F51E66">
        <w:rPr>
          <w:rFonts w:asciiTheme="majorBidi" w:hAnsiTheme="majorBidi" w:cstheme="majorBidi"/>
          <w:lang w:bidi="ar-EG"/>
        </w:rPr>
        <w:t>pg</w:t>
      </w:r>
      <w:proofErr w:type="spellEnd"/>
      <w:r w:rsidRPr="00F51E66">
        <w:rPr>
          <w:rFonts w:asciiTheme="majorBidi" w:hAnsiTheme="majorBidi" w:cstheme="majorBidi"/>
          <w:lang w:bidi="ar-EG"/>
        </w:rPr>
        <w:t xml:space="preserve">/ml, and 736.0 </w:t>
      </w:r>
      <w:proofErr w:type="spellStart"/>
      <w:r w:rsidRPr="00F51E66">
        <w:rPr>
          <w:rFonts w:asciiTheme="majorBidi" w:hAnsiTheme="majorBidi" w:cstheme="majorBidi"/>
          <w:lang w:bidi="ar-EG"/>
        </w:rPr>
        <w:t>pg</w:t>
      </w:r>
      <w:proofErr w:type="spellEnd"/>
      <w:r w:rsidRPr="00F51E66">
        <w:rPr>
          <w:rFonts w:asciiTheme="majorBidi" w:hAnsiTheme="majorBidi" w:cstheme="majorBidi"/>
          <w:lang w:bidi="ar-EG"/>
        </w:rPr>
        <w:t xml:space="preserve">/ml, respectively. </w:t>
      </w:r>
      <w:r w:rsidR="00BE04A5">
        <w:rPr>
          <w:rFonts w:asciiTheme="majorBidi" w:hAnsiTheme="majorBidi" w:cstheme="majorBidi"/>
          <w:lang w:bidi="ar-EG"/>
        </w:rPr>
        <w:t>[17</w:t>
      </w:r>
      <w:r w:rsidR="002B3CBB" w:rsidRPr="00AD4EA0">
        <w:rPr>
          <w:rFonts w:asciiTheme="majorBidi" w:hAnsiTheme="majorBidi" w:cstheme="majorBidi"/>
          <w:lang w:bidi="ar-EG"/>
        </w:rPr>
        <w:t>].</w:t>
      </w:r>
    </w:p>
    <w:p w:rsidR="002B3CBB" w:rsidRPr="00AD4EA0" w:rsidRDefault="002B3CBB" w:rsidP="00AD4EA0">
      <w:pPr>
        <w:autoSpaceDE w:val="0"/>
        <w:autoSpaceDN w:val="0"/>
        <w:adjustRightInd w:val="0"/>
        <w:spacing w:after="0" w:line="240" w:lineRule="auto"/>
        <w:jc w:val="both"/>
        <w:rPr>
          <w:rFonts w:asciiTheme="majorBidi" w:hAnsiTheme="majorBidi" w:cstheme="majorBidi"/>
          <w:lang w:bidi="ar-EG"/>
        </w:rPr>
      </w:pPr>
    </w:p>
    <w:p w:rsidR="001C5201" w:rsidRPr="008B2CF5" w:rsidRDefault="00B7679F" w:rsidP="00AD4EA0">
      <w:pPr>
        <w:spacing w:line="240" w:lineRule="auto"/>
        <w:jc w:val="both"/>
        <w:rPr>
          <w:rFonts w:asciiTheme="majorBidi" w:hAnsiTheme="majorBidi" w:cstheme="majorBidi"/>
          <w:b/>
          <w:bCs/>
          <w:lang w:bidi="ar-EG"/>
        </w:rPr>
      </w:pPr>
      <w:r w:rsidRPr="008B2CF5">
        <w:rPr>
          <w:rFonts w:asciiTheme="majorBidi" w:hAnsiTheme="majorBidi" w:cstheme="majorBidi"/>
          <w:b/>
          <w:bCs/>
          <w:lang w:bidi="ar-EG"/>
        </w:rPr>
        <w:t>References:</w:t>
      </w:r>
    </w:p>
    <w:p w:rsidR="00F41DAB" w:rsidRPr="00F41DAB" w:rsidRDefault="00B7679F" w:rsidP="00F41DAB">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McCauley, L., &amp; Dean, N. (2015). Pneumonia and empyema: causal, casual or unknown. Journal of thoracic disease, 7(6), 992.</w:t>
      </w:r>
    </w:p>
    <w:p w:rsidR="00F41DAB" w:rsidRPr="00F41DAB" w:rsidRDefault="00F41DAB" w:rsidP="00F41DAB">
      <w:pPr>
        <w:pStyle w:val="ListParagraph"/>
        <w:numPr>
          <w:ilvl w:val="0"/>
          <w:numId w:val="4"/>
        </w:numPr>
        <w:spacing w:line="240" w:lineRule="auto"/>
        <w:jc w:val="both"/>
        <w:rPr>
          <w:rFonts w:asciiTheme="majorBidi" w:hAnsiTheme="majorBidi" w:cstheme="majorBidi"/>
          <w:highlight w:val="yellow"/>
          <w:lang w:bidi="ar-EG"/>
        </w:rPr>
      </w:pPr>
      <w:r w:rsidRPr="00F41DAB">
        <w:rPr>
          <w:rFonts w:asciiTheme="majorBidi" w:hAnsiTheme="majorBidi" w:cstheme="majorBidi"/>
          <w:color w:val="222222"/>
          <w:highlight w:val="yellow"/>
          <w:shd w:val="clear" w:color="auto" w:fill="FFFFFF"/>
        </w:rPr>
        <w:t xml:space="preserve">Mohammed </w:t>
      </w:r>
      <w:proofErr w:type="spellStart"/>
      <w:r w:rsidRPr="00F41DAB">
        <w:rPr>
          <w:rFonts w:asciiTheme="majorBidi" w:hAnsiTheme="majorBidi" w:cstheme="majorBidi"/>
          <w:color w:val="222222"/>
          <w:highlight w:val="yellow"/>
          <w:shd w:val="clear" w:color="auto" w:fill="FFFFFF"/>
        </w:rPr>
        <w:t>Shehta</w:t>
      </w:r>
      <w:proofErr w:type="spellEnd"/>
      <w:r w:rsidRPr="00F41DAB">
        <w:rPr>
          <w:rFonts w:asciiTheme="majorBidi" w:hAnsiTheme="majorBidi" w:cstheme="majorBidi"/>
          <w:color w:val="222222"/>
          <w:highlight w:val="yellow"/>
          <w:shd w:val="clear" w:color="auto" w:fill="FFFFFF"/>
        </w:rPr>
        <w:t xml:space="preserve">, Amr M. </w:t>
      </w:r>
      <w:proofErr w:type="spellStart"/>
      <w:r w:rsidRPr="00F41DAB">
        <w:rPr>
          <w:rFonts w:asciiTheme="majorBidi" w:hAnsiTheme="majorBidi" w:cstheme="majorBidi"/>
          <w:color w:val="222222"/>
          <w:highlight w:val="yellow"/>
          <w:shd w:val="clear" w:color="auto" w:fill="FFFFFF"/>
        </w:rPr>
        <w:t>Fathy</w:t>
      </w:r>
      <w:proofErr w:type="spellEnd"/>
      <w:r w:rsidRPr="00F41DAB">
        <w:rPr>
          <w:rFonts w:asciiTheme="majorBidi" w:hAnsiTheme="majorBidi" w:cstheme="majorBidi"/>
          <w:color w:val="222222"/>
          <w:highlight w:val="yellow"/>
          <w:shd w:val="clear" w:color="auto" w:fill="FFFFFF"/>
        </w:rPr>
        <w:t xml:space="preserve"> and Mohammed A. Ibrahim (2023): Could pleural fluid lactate level have an added diagnostic value in para pneumonic effusion?</w:t>
      </w:r>
      <w:r w:rsidRPr="00F41DAB">
        <w:rPr>
          <w:rFonts w:ascii="HelveticaLTStd-Bold" w:hAnsi="HelveticaLTStd-Bold" w:cs="HelveticaLTStd-Bold"/>
          <w:b/>
          <w:bCs/>
          <w:sz w:val="14"/>
          <w:szCs w:val="14"/>
          <w:highlight w:val="yellow"/>
        </w:rPr>
        <w:t xml:space="preserve"> </w:t>
      </w:r>
      <w:r w:rsidRPr="00F41DAB">
        <w:rPr>
          <w:rFonts w:asciiTheme="majorBidi" w:hAnsiTheme="majorBidi" w:cstheme="majorBidi"/>
          <w:color w:val="222222"/>
          <w:highlight w:val="yellow"/>
          <w:shd w:val="clear" w:color="auto" w:fill="FFFFFF"/>
        </w:rPr>
        <w:t>The Egyptian Journal of Chest Diseases and Tuberculosis 2023, 72:340–345</w:t>
      </w:r>
    </w:p>
    <w:p w:rsidR="00B77A5F" w:rsidRPr="00B77A5F" w:rsidRDefault="00B7679F" w:rsidP="00B77A5F">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Ferreiro, L., Porcel, J. M., Bielsa, S., Toubes, M. E., Álvarez-Dobaño, J. M., &amp; Valdés, L. (2018). Management of pleural infections. Expert Review of Respiratory Medicine, 12(6), 521-535.</w:t>
      </w:r>
    </w:p>
    <w:p w:rsidR="00B77A5F" w:rsidRPr="00CB6F73" w:rsidRDefault="00B77A5F" w:rsidP="00142CBA">
      <w:pPr>
        <w:pStyle w:val="ListParagraph"/>
        <w:numPr>
          <w:ilvl w:val="0"/>
          <w:numId w:val="4"/>
        </w:numPr>
        <w:spacing w:line="240" w:lineRule="auto"/>
        <w:jc w:val="both"/>
        <w:rPr>
          <w:rFonts w:asciiTheme="majorBidi" w:hAnsiTheme="majorBidi" w:cstheme="majorBidi"/>
          <w:highlight w:val="yellow"/>
          <w:lang w:bidi="ar-EG"/>
        </w:rPr>
      </w:pPr>
      <w:proofErr w:type="spellStart"/>
      <w:r w:rsidRPr="00CB6F73">
        <w:rPr>
          <w:rFonts w:asciiTheme="majorBidi" w:hAnsiTheme="majorBidi" w:cstheme="majorBidi"/>
          <w:color w:val="222222"/>
          <w:highlight w:val="yellow"/>
          <w:shd w:val="clear" w:color="auto" w:fill="FFFFFF"/>
        </w:rPr>
        <w:t>Ceyda</w:t>
      </w:r>
      <w:proofErr w:type="spellEnd"/>
      <w:r w:rsidRPr="00CB6F73">
        <w:rPr>
          <w:rFonts w:asciiTheme="majorBidi" w:hAnsiTheme="majorBidi" w:cstheme="majorBidi"/>
          <w:color w:val="222222"/>
          <w:highlight w:val="yellow"/>
          <w:shd w:val="clear" w:color="auto" w:fill="FFFFFF"/>
        </w:rPr>
        <w:t xml:space="preserve"> Anara, </w:t>
      </w:r>
      <w:proofErr w:type="spellStart"/>
      <w:r w:rsidRPr="00CB6F73">
        <w:rPr>
          <w:rFonts w:asciiTheme="majorBidi" w:hAnsiTheme="majorBidi" w:cstheme="majorBidi"/>
          <w:color w:val="222222"/>
          <w:highlight w:val="yellow"/>
          <w:shd w:val="clear" w:color="auto" w:fill="FFFFFF"/>
        </w:rPr>
        <w:t>Melike</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Yüksel</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Yavuzb</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İbrahim</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Onur</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Alıcıc</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Filiz</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Güldavald</w:t>
      </w:r>
      <w:proofErr w:type="spellEnd"/>
      <w:r w:rsidR="00142CBA" w:rsidRPr="00CB6F73">
        <w:rPr>
          <w:rFonts w:asciiTheme="majorBidi" w:hAnsiTheme="majorBidi" w:cstheme="majorBidi"/>
          <w:color w:val="222222"/>
          <w:highlight w:val="yellow"/>
          <w:shd w:val="clear" w:color="auto" w:fill="FFFFFF"/>
        </w:rPr>
        <w:t xml:space="preserve"> and</w:t>
      </w:r>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Melih</w:t>
      </w:r>
      <w:proofErr w:type="spellEnd"/>
      <w:r w:rsidRPr="00CB6F73">
        <w:rPr>
          <w:rFonts w:asciiTheme="majorBidi" w:hAnsiTheme="majorBidi" w:cstheme="majorBidi"/>
          <w:color w:val="222222"/>
          <w:highlight w:val="yellow"/>
          <w:shd w:val="clear" w:color="auto" w:fill="FFFFFF"/>
        </w:rPr>
        <w:t xml:space="preserve"> </w:t>
      </w:r>
      <w:proofErr w:type="spellStart"/>
      <w:r w:rsidRPr="00CB6F73">
        <w:rPr>
          <w:rFonts w:asciiTheme="majorBidi" w:hAnsiTheme="majorBidi" w:cstheme="majorBidi"/>
          <w:color w:val="222222"/>
          <w:highlight w:val="yellow"/>
          <w:shd w:val="clear" w:color="auto" w:fill="FFFFFF"/>
        </w:rPr>
        <w:t>Büyüksirind</w:t>
      </w:r>
      <w:proofErr w:type="spellEnd"/>
      <w:r w:rsidRPr="00CB6F73">
        <w:rPr>
          <w:rFonts w:asciiTheme="majorBidi" w:hAnsiTheme="majorBidi" w:cstheme="majorBidi"/>
          <w:color w:val="222222"/>
          <w:highlight w:val="yellow"/>
          <w:shd w:val="clear" w:color="auto" w:fill="FFFFFF"/>
        </w:rPr>
        <w:t xml:space="preserve"> </w:t>
      </w:r>
      <w:r w:rsidR="00142CBA" w:rsidRPr="00CB6F73">
        <w:rPr>
          <w:rFonts w:asciiTheme="majorBidi" w:hAnsiTheme="majorBidi" w:cstheme="majorBidi"/>
          <w:color w:val="222222"/>
          <w:highlight w:val="yellow"/>
          <w:shd w:val="clear" w:color="auto" w:fill="FFFFFF"/>
        </w:rPr>
        <w:t>(</w:t>
      </w:r>
      <w:r w:rsidRPr="00CB6F73">
        <w:rPr>
          <w:rFonts w:asciiTheme="majorBidi" w:hAnsiTheme="majorBidi" w:cstheme="majorBidi"/>
          <w:color w:val="222222"/>
          <w:highlight w:val="yellow"/>
          <w:shd w:val="clear" w:color="auto" w:fill="FFFFFF"/>
        </w:rPr>
        <w:t>2021)</w:t>
      </w:r>
      <w:r w:rsidR="00142CBA" w:rsidRPr="00CB6F73">
        <w:rPr>
          <w:rFonts w:asciiTheme="majorBidi" w:hAnsiTheme="majorBidi" w:cstheme="majorBidi"/>
          <w:color w:val="222222"/>
          <w:highlight w:val="yellow"/>
          <w:shd w:val="clear" w:color="auto" w:fill="FFFFFF"/>
        </w:rPr>
        <w:t xml:space="preserve">: </w:t>
      </w:r>
      <w:r w:rsidRPr="00CB6F73">
        <w:rPr>
          <w:rFonts w:asciiTheme="majorBidi" w:hAnsiTheme="majorBidi" w:cstheme="majorBidi"/>
          <w:color w:val="222222"/>
          <w:highlight w:val="yellow"/>
          <w:shd w:val="clear" w:color="auto" w:fill="FFFFFF"/>
        </w:rPr>
        <w:t>Diagnostic value of pleural fluid lactate dehydrogenase/</w:t>
      </w:r>
      <w:r w:rsidR="00142CBA" w:rsidRPr="00CB6F73">
        <w:rPr>
          <w:rFonts w:asciiTheme="majorBidi" w:hAnsiTheme="majorBidi" w:cstheme="majorBidi"/>
          <w:color w:val="222222"/>
          <w:highlight w:val="yellow"/>
          <w:shd w:val="clear" w:color="auto" w:fill="FFFFFF"/>
        </w:rPr>
        <w:t xml:space="preserve"> </w:t>
      </w:r>
      <w:r w:rsidRPr="00CB6F73">
        <w:rPr>
          <w:rFonts w:asciiTheme="majorBidi" w:hAnsiTheme="majorBidi" w:cstheme="majorBidi"/>
          <w:color w:val="222222"/>
          <w:highlight w:val="yellow"/>
          <w:shd w:val="clear" w:color="auto" w:fill="FFFFFF"/>
        </w:rPr>
        <w:t xml:space="preserve">adenosine deaminase ratio in differentiating </w:t>
      </w:r>
      <w:proofErr w:type="spellStart"/>
      <w:r w:rsidRPr="00CB6F73">
        <w:rPr>
          <w:rFonts w:asciiTheme="majorBidi" w:hAnsiTheme="majorBidi" w:cstheme="majorBidi"/>
          <w:color w:val="222222"/>
          <w:highlight w:val="yellow"/>
          <w:shd w:val="clear" w:color="auto" w:fill="FFFFFF"/>
        </w:rPr>
        <w:t>parapneumonic</w:t>
      </w:r>
      <w:proofErr w:type="spellEnd"/>
      <w:r w:rsidR="00142CBA" w:rsidRPr="00CB6F73">
        <w:rPr>
          <w:rFonts w:asciiTheme="majorBidi" w:hAnsiTheme="majorBidi" w:cstheme="majorBidi"/>
          <w:color w:val="222222"/>
          <w:highlight w:val="yellow"/>
          <w:shd w:val="clear" w:color="auto" w:fill="FFFFFF"/>
        </w:rPr>
        <w:t xml:space="preserve"> </w:t>
      </w:r>
      <w:r w:rsidRPr="00CB6F73">
        <w:rPr>
          <w:rFonts w:asciiTheme="majorBidi" w:hAnsiTheme="majorBidi" w:cstheme="majorBidi"/>
          <w:color w:val="222222"/>
          <w:highlight w:val="yellow"/>
          <w:shd w:val="clear" w:color="auto" w:fill="FFFFFF"/>
        </w:rPr>
        <w:t>effusion from tuberculous pleurisy</w:t>
      </w:r>
      <w:r w:rsidR="00142CBA" w:rsidRPr="00CB6F73">
        <w:rPr>
          <w:rFonts w:asciiTheme="majorBidi" w:hAnsiTheme="majorBidi" w:cstheme="majorBidi"/>
          <w:color w:val="222222"/>
          <w:highlight w:val="yellow"/>
          <w:shd w:val="clear" w:color="auto" w:fill="FFFFFF"/>
        </w:rPr>
        <w:t xml:space="preserve">. </w:t>
      </w:r>
      <w:r w:rsidRPr="00CB6F73">
        <w:rPr>
          <w:rFonts w:asciiTheme="majorBidi" w:hAnsiTheme="majorBidi" w:cstheme="majorBidi"/>
          <w:color w:val="222222"/>
          <w:highlight w:val="yellow"/>
          <w:shd w:val="clear" w:color="auto" w:fill="FFFFFF"/>
        </w:rPr>
        <w:t>The Egyptian Journal of Chest Diseases and</w:t>
      </w:r>
      <w:r w:rsidR="00142CBA" w:rsidRPr="00CB6F73">
        <w:rPr>
          <w:rFonts w:asciiTheme="majorBidi" w:hAnsiTheme="majorBidi" w:cstheme="majorBidi"/>
          <w:color w:val="222222"/>
          <w:highlight w:val="yellow"/>
          <w:shd w:val="clear" w:color="auto" w:fill="FFFFFF"/>
        </w:rPr>
        <w:t xml:space="preserve"> </w:t>
      </w:r>
      <w:r w:rsidRPr="00CB6F73">
        <w:rPr>
          <w:rFonts w:asciiTheme="majorBidi" w:hAnsiTheme="majorBidi" w:cstheme="majorBidi"/>
          <w:color w:val="222222"/>
          <w:highlight w:val="yellow"/>
          <w:shd w:val="clear" w:color="auto" w:fill="FFFFFF"/>
        </w:rPr>
        <w:t>Tuberculosis 2021, 70:547–553</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Gao, Y., Wen, Q., Hu, S., Zhou, X., Xiong, W., Du, X., et al., (2019). IL-36γ promotes killing of Mycobacterium tuberculosis by macrophages via WNT5A-induced noncanonical WNT signaling. The Journal of Immunology, 203(4), 922-935.</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Light, R. W., Erozan, Y. S., &amp; Ball, W. C. (1973). Cells in pleural fluid: their value in differential diagnosis. Archives of internal medicine, 132(6), 854-860.</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Burgess, L. J., Maritz, F. J., Le Roux, I., &amp; Taljaard, J. J. (1995). Use of adenosine deaminase as a diagnostic tool for tuberculous pleurisy. Thorax, 50(6), 672-674.</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lastRenderedPageBreak/>
        <w:t xml:space="preserve">Valdés, L., Alvarez, D., San José, E., Penela, P., Valle, J. M., García-Pazos, J. M., et al., (1998). Tuberculous pleurisy: a study of 254 patients. Archives of internal medicine, 158(18), 2017-2021.  </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Diacon, A. H., Van de Wal, B. W., Wyser, C., Smedema, J. P., Bezuidenhout, J., Bolliger, C. T., et al., (2003). Diagnostic tools in tuberculous pleurisy: a direct comparative study. European Respiratory Journal, 22(4), 589-591.</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color w:val="222222"/>
          <w:shd w:val="clear" w:color="auto" w:fill="FFFFFF"/>
        </w:rPr>
        <w:t>Beauchamp, H. D., Kundra, N. K., Aranson, R., Chong, F., &amp; MacDonnell, K. F. (1992). The role of closed pleural needle biopsy in the diagnosis of malignant mesothelioma of the pleura. Chest, 102(4), 1110-1112.</w:t>
      </w:r>
    </w:p>
    <w:p w:rsidR="001C5201" w:rsidRPr="00AD4EA0" w:rsidRDefault="00B7679F" w:rsidP="00142CBA">
      <w:pPr>
        <w:pStyle w:val="ListParagraph"/>
        <w:numPr>
          <w:ilvl w:val="0"/>
          <w:numId w:val="4"/>
        </w:numPr>
        <w:spacing w:line="240" w:lineRule="auto"/>
        <w:jc w:val="both"/>
        <w:rPr>
          <w:rFonts w:asciiTheme="majorBidi" w:hAnsiTheme="majorBidi" w:cstheme="majorBidi"/>
          <w:lang w:bidi="ar-EG"/>
        </w:rPr>
      </w:pPr>
      <w:r w:rsidRPr="00AD4EA0">
        <w:rPr>
          <w:rFonts w:asciiTheme="majorBidi" w:hAnsiTheme="majorBidi" w:cstheme="majorBidi"/>
        </w:rPr>
        <w:t>Light RW (2007): Pleural Diseases, 5th edn. Lippincott, Williams and Wilkins, Baltimore, MD.</w:t>
      </w:r>
    </w:p>
    <w:p w:rsidR="003626CC" w:rsidRPr="003626CC" w:rsidRDefault="00B7679F" w:rsidP="003626CC">
      <w:pPr>
        <w:pStyle w:val="ListParagraph"/>
        <w:numPr>
          <w:ilvl w:val="0"/>
          <w:numId w:val="4"/>
        </w:numPr>
        <w:autoSpaceDE w:val="0"/>
        <w:autoSpaceDN w:val="0"/>
        <w:adjustRightInd w:val="0"/>
        <w:spacing w:after="0" w:line="240" w:lineRule="auto"/>
        <w:jc w:val="both"/>
        <w:rPr>
          <w:rFonts w:asciiTheme="majorBidi" w:hAnsiTheme="majorBidi" w:cstheme="majorBidi"/>
          <w:color w:val="131413"/>
        </w:rPr>
      </w:pPr>
      <w:r w:rsidRPr="00AD4EA0">
        <w:rPr>
          <w:rFonts w:asciiTheme="majorBidi" w:hAnsiTheme="majorBidi" w:cstheme="majorBidi"/>
          <w:lang w:bidi="ar-EG"/>
        </w:rPr>
        <w:t xml:space="preserve"> </w:t>
      </w:r>
      <w:r w:rsidRPr="00AD4EA0">
        <w:rPr>
          <w:rFonts w:asciiTheme="majorBidi" w:hAnsiTheme="majorBidi" w:cstheme="majorBidi"/>
        </w:rPr>
        <w:t>Light RW (1995): Parapneumonic effusions and empyema. In: Light RW. Pleural diseases. 3ª ed. Baltimore: Willianms &amp; Wilkin;1995. p.129-53.</w:t>
      </w:r>
    </w:p>
    <w:p w:rsidR="00BE04A5" w:rsidRPr="00BE04A5" w:rsidRDefault="00BE04A5" w:rsidP="00BE04A5">
      <w:pPr>
        <w:pStyle w:val="ListParagraph"/>
        <w:numPr>
          <w:ilvl w:val="0"/>
          <w:numId w:val="4"/>
        </w:numPr>
        <w:autoSpaceDE w:val="0"/>
        <w:autoSpaceDN w:val="0"/>
        <w:adjustRightInd w:val="0"/>
        <w:spacing w:after="0" w:line="240" w:lineRule="auto"/>
        <w:jc w:val="both"/>
        <w:rPr>
          <w:rFonts w:asciiTheme="majorBidi" w:hAnsiTheme="majorBidi" w:cstheme="majorBidi"/>
          <w:color w:val="131413"/>
        </w:rPr>
      </w:pPr>
      <w:proofErr w:type="spellStart"/>
      <w:r w:rsidRPr="00AD4EA0">
        <w:rPr>
          <w:rFonts w:asciiTheme="majorBidi" w:hAnsiTheme="majorBidi" w:cstheme="majorBidi"/>
          <w:color w:val="222222"/>
          <w:shd w:val="clear" w:color="auto" w:fill="FFFFFF"/>
        </w:rPr>
        <w:t>Porcel</w:t>
      </w:r>
      <w:proofErr w:type="spellEnd"/>
      <w:r w:rsidRPr="00AD4EA0">
        <w:rPr>
          <w:rFonts w:asciiTheme="majorBidi" w:hAnsiTheme="majorBidi" w:cstheme="majorBidi"/>
          <w:color w:val="222222"/>
          <w:shd w:val="clear" w:color="auto" w:fill="FFFFFF"/>
        </w:rPr>
        <w:t>, J. M., &amp; Light, R. W. (2006). Diagnostic approach to pleural effusion in adults. American family physician, 73(7), 1211-1220.</w:t>
      </w:r>
    </w:p>
    <w:p w:rsidR="003626CC" w:rsidRPr="00BE04A5" w:rsidRDefault="003626CC" w:rsidP="003626CC">
      <w:pPr>
        <w:pStyle w:val="ListParagraph"/>
        <w:numPr>
          <w:ilvl w:val="0"/>
          <w:numId w:val="4"/>
        </w:numPr>
        <w:autoSpaceDE w:val="0"/>
        <w:autoSpaceDN w:val="0"/>
        <w:adjustRightInd w:val="0"/>
        <w:spacing w:after="0" w:line="240" w:lineRule="auto"/>
        <w:jc w:val="both"/>
        <w:rPr>
          <w:rFonts w:asciiTheme="majorBidi" w:hAnsiTheme="majorBidi" w:cstheme="majorBidi"/>
          <w:color w:val="131413"/>
          <w:highlight w:val="yellow"/>
        </w:rPr>
      </w:pPr>
      <w:r w:rsidRPr="00BE04A5">
        <w:rPr>
          <w:rFonts w:asciiTheme="majorBidi" w:hAnsiTheme="majorBidi" w:cstheme="majorBidi"/>
          <w:highlight w:val="yellow"/>
        </w:rPr>
        <w:t>A</w:t>
      </w:r>
      <w:r w:rsidR="003B503D" w:rsidRPr="00BE04A5">
        <w:rPr>
          <w:rFonts w:asciiTheme="majorBidi" w:hAnsiTheme="majorBidi" w:cstheme="majorBidi"/>
          <w:highlight w:val="yellow"/>
        </w:rPr>
        <w:t>aron</w:t>
      </w:r>
      <w:r w:rsidRPr="00BE04A5">
        <w:rPr>
          <w:rFonts w:asciiTheme="majorBidi" w:hAnsiTheme="majorBidi" w:cstheme="majorBidi"/>
          <w:highlight w:val="yellow"/>
        </w:rPr>
        <w:t xml:space="preserve"> </w:t>
      </w:r>
      <w:proofErr w:type="spellStart"/>
      <w:r w:rsidR="003B503D" w:rsidRPr="00BE04A5">
        <w:rPr>
          <w:rFonts w:asciiTheme="majorBidi" w:hAnsiTheme="majorBidi" w:cstheme="majorBidi"/>
          <w:highlight w:val="yellow"/>
        </w:rPr>
        <w:t>Saguil</w:t>
      </w:r>
      <w:proofErr w:type="spellEnd"/>
      <w:r w:rsidR="003B503D" w:rsidRPr="00BE04A5">
        <w:rPr>
          <w:rFonts w:asciiTheme="majorBidi" w:hAnsiTheme="majorBidi" w:cstheme="majorBidi"/>
          <w:highlight w:val="yellow"/>
        </w:rPr>
        <w:t xml:space="preserve">, Kristen </w:t>
      </w:r>
      <w:proofErr w:type="spellStart"/>
      <w:r w:rsidR="003B503D" w:rsidRPr="00BE04A5">
        <w:rPr>
          <w:rFonts w:asciiTheme="majorBidi" w:hAnsiTheme="majorBidi" w:cstheme="majorBidi"/>
          <w:highlight w:val="yellow"/>
        </w:rPr>
        <w:t>Wyrick</w:t>
      </w:r>
      <w:proofErr w:type="spellEnd"/>
      <w:r w:rsidR="003B503D" w:rsidRPr="00BE04A5">
        <w:rPr>
          <w:rFonts w:asciiTheme="majorBidi" w:hAnsiTheme="majorBidi" w:cstheme="majorBidi"/>
          <w:highlight w:val="yellow"/>
        </w:rPr>
        <w:t xml:space="preserve"> </w:t>
      </w:r>
      <w:r w:rsidRPr="00BE04A5">
        <w:rPr>
          <w:rFonts w:asciiTheme="majorBidi" w:hAnsiTheme="majorBidi" w:cstheme="majorBidi"/>
          <w:highlight w:val="yellow"/>
        </w:rPr>
        <w:t xml:space="preserve">and John </w:t>
      </w:r>
      <w:proofErr w:type="spellStart"/>
      <w:r w:rsidRPr="00BE04A5">
        <w:rPr>
          <w:rFonts w:asciiTheme="majorBidi" w:hAnsiTheme="majorBidi" w:cstheme="majorBidi"/>
          <w:highlight w:val="yellow"/>
        </w:rPr>
        <w:t>Hallgren</w:t>
      </w:r>
      <w:proofErr w:type="spellEnd"/>
      <w:r w:rsidRPr="00BE04A5">
        <w:rPr>
          <w:rFonts w:asciiTheme="majorBidi" w:hAnsiTheme="majorBidi" w:cstheme="majorBidi"/>
          <w:highlight w:val="yellow"/>
        </w:rPr>
        <w:t>, MD Diagnostic</w:t>
      </w:r>
      <w:proofErr w:type="gramStart"/>
      <w:r w:rsidR="003B503D" w:rsidRPr="00BE04A5">
        <w:rPr>
          <w:rFonts w:asciiTheme="majorBidi" w:hAnsiTheme="majorBidi" w:cstheme="majorBidi"/>
          <w:highlight w:val="yellow"/>
        </w:rPr>
        <w:t>.,(</w:t>
      </w:r>
      <w:proofErr w:type="gramEnd"/>
      <w:r w:rsidR="003B503D" w:rsidRPr="00BE04A5">
        <w:rPr>
          <w:rFonts w:asciiTheme="majorBidi" w:hAnsiTheme="majorBidi" w:cstheme="majorBidi"/>
          <w:highlight w:val="yellow"/>
        </w:rPr>
        <w:t>2014):</w:t>
      </w:r>
      <w:r w:rsidRPr="00BE04A5">
        <w:rPr>
          <w:rFonts w:asciiTheme="majorBidi" w:hAnsiTheme="majorBidi" w:cstheme="majorBidi"/>
          <w:highlight w:val="yellow"/>
        </w:rPr>
        <w:t xml:space="preserve"> Approach to Pleural Effusion Am Fam Physician. 2014;90(2):99-104</w:t>
      </w:r>
    </w:p>
    <w:p w:rsidR="003626CC" w:rsidRPr="00BE04A5" w:rsidRDefault="00BE04A5" w:rsidP="00142CBA">
      <w:pPr>
        <w:pStyle w:val="ListParagraph"/>
        <w:numPr>
          <w:ilvl w:val="0"/>
          <w:numId w:val="4"/>
        </w:numPr>
        <w:autoSpaceDE w:val="0"/>
        <w:autoSpaceDN w:val="0"/>
        <w:adjustRightInd w:val="0"/>
        <w:spacing w:after="0" w:line="240" w:lineRule="auto"/>
        <w:jc w:val="both"/>
        <w:rPr>
          <w:rFonts w:asciiTheme="majorBidi" w:hAnsiTheme="majorBidi" w:cstheme="majorBidi"/>
          <w:highlight w:val="yellow"/>
        </w:rPr>
      </w:pPr>
      <w:r w:rsidRPr="00BE04A5">
        <w:rPr>
          <w:rFonts w:asciiTheme="majorBidi" w:hAnsiTheme="majorBidi" w:cstheme="majorBidi"/>
          <w:highlight w:val="yellow"/>
        </w:rPr>
        <w:t xml:space="preserve">Valdés L, Alvarez D, San José E, et al. Tuberculous pleurisy: a study of 254 patients. Arch Intern Med </w:t>
      </w:r>
      <w:proofErr w:type="gramStart"/>
      <w:r w:rsidRPr="00BE04A5">
        <w:rPr>
          <w:rFonts w:asciiTheme="majorBidi" w:hAnsiTheme="majorBidi" w:cstheme="majorBidi"/>
          <w:highlight w:val="yellow"/>
        </w:rPr>
        <w:t>1998;158:2017</w:t>
      </w:r>
      <w:proofErr w:type="gramEnd"/>
      <w:r w:rsidRPr="00BE04A5">
        <w:rPr>
          <w:rFonts w:asciiTheme="majorBidi" w:hAnsiTheme="majorBidi" w:cstheme="majorBidi"/>
          <w:highlight w:val="yellow"/>
        </w:rPr>
        <w:t>-21.</w:t>
      </w:r>
    </w:p>
    <w:p w:rsidR="00566E06" w:rsidRPr="00AD4EA0" w:rsidRDefault="002154FD"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131413"/>
        </w:rPr>
      </w:pPr>
      <w:r w:rsidRPr="00AD4EA0">
        <w:rPr>
          <w:rFonts w:asciiTheme="majorBidi" w:hAnsiTheme="majorBidi" w:cstheme="majorBidi"/>
          <w:color w:val="222222"/>
          <w:shd w:val="clear" w:color="auto" w:fill="FFFFFF"/>
        </w:rPr>
        <w:t>Rosa M. </w:t>
      </w:r>
      <w:r w:rsidR="002B1879" w:rsidRPr="00AD4EA0">
        <w:rPr>
          <w:rFonts w:asciiTheme="majorBidi" w:hAnsiTheme="majorBidi" w:cstheme="majorBidi"/>
          <w:color w:val="222222"/>
          <w:shd w:val="clear" w:color="auto" w:fill="FFFFFF"/>
        </w:rPr>
        <w:t>P</w:t>
      </w:r>
      <w:r w:rsidRPr="00AD4EA0">
        <w:rPr>
          <w:rFonts w:asciiTheme="majorBidi" w:hAnsiTheme="majorBidi" w:cstheme="majorBidi"/>
          <w:color w:val="222222"/>
          <w:shd w:val="clear" w:color="auto" w:fill="FFFFFF"/>
        </w:rPr>
        <w:t>, Silvia </w:t>
      </w:r>
      <w:r w:rsidR="002B1879" w:rsidRPr="00AD4EA0">
        <w:rPr>
          <w:rFonts w:asciiTheme="majorBidi" w:hAnsiTheme="majorBidi" w:cstheme="majorBidi"/>
          <w:color w:val="222222"/>
          <w:shd w:val="clear" w:color="auto" w:fill="FFFFFF"/>
        </w:rPr>
        <w:t>B</w:t>
      </w:r>
      <w:r w:rsidRPr="00AD4EA0">
        <w:rPr>
          <w:rFonts w:asciiTheme="majorBidi" w:hAnsiTheme="majorBidi" w:cstheme="majorBidi"/>
          <w:color w:val="222222"/>
          <w:shd w:val="clear" w:color="auto" w:fill="FFFFFF"/>
        </w:rPr>
        <w:t>, </w:t>
      </w:r>
      <w:proofErr w:type="spellStart"/>
      <w:r w:rsidRPr="00AD4EA0">
        <w:rPr>
          <w:rFonts w:asciiTheme="majorBidi" w:hAnsiTheme="majorBidi" w:cstheme="majorBidi"/>
          <w:color w:val="222222"/>
          <w:shd w:val="clear" w:color="auto" w:fill="FFFFFF"/>
        </w:rPr>
        <w:t>Aureli</w:t>
      </w:r>
      <w:proofErr w:type="spellEnd"/>
      <w:r w:rsidRPr="00AD4EA0">
        <w:rPr>
          <w:rFonts w:asciiTheme="majorBidi" w:hAnsiTheme="majorBidi" w:cstheme="majorBidi"/>
          <w:color w:val="222222"/>
          <w:shd w:val="clear" w:color="auto" w:fill="FFFFFF"/>
        </w:rPr>
        <w:t> </w:t>
      </w:r>
      <w:r w:rsidR="002B1879" w:rsidRPr="00AD4EA0">
        <w:rPr>
          <w:rFonts w:asciiTheme="majorBidi" w:hAnsiTheme="majorBidi" w:cstheme="majorBidi"/>
          <w:color w:val="222222"/>
          <w:shd w:val="clear" w:color="auto" w:fill="FFFFFF"/>
        </w:rPr>
        <w:t>E</w:t>
      </w:r>
      <w:r w:rsidRPr="00AD4EA0">
        <w:rPr>
          <w:rFonts w:asciiTheme="majorBidi" w:hAnsiTheme="majorBidi" w:cstheme="majorBidi"/>
          <w:color w:val="222222"/>
          <w:shd w:val="clear" w:color="auto" w:fill="FFFFFF"/>
        </w:rPr>
        <w:t>, Montserrat </w:t>
      </w:r>
      <w:r w:rsidR="002B1879" w:rsidRPr="00AD4EA0">
        <w:rPr>
          <w:rFonts w:asciiTheme="majorBidi" w:hAnsiTheme="majorBidi" w:cstheme="majorBidi"/>
          <w:color w:val="222222"/>
          <w:shd w:val="clear" w:color="auto" w:fill="FFFFFF"/>
        </w:rPr>
        <w:t>M A and</w:t>
      </w:r>
      <w:r w:rsidRPr="00AD4EA0">
        <w:rPr>
          <w:rFonts w:asciiTheme="majorBidi" w:hAnsiTheme="majorBidi" w:cstheme="majorBidi"/>
          <w:color w:val="222222"/>
          <w:shd w:val="clear" w:color="auto" w:fill="FFFFFF"/>
        </w:rPr>
        <w:t> José M. </w:t>
      </w:r>
      <w:r w:rsidR="002B1879" w:rsidRPr="00AD4EA0">
        <w:rPr>
          <w:rFonts w:asciiTheme="majorBidi" w:hAnsiTheme="majorBidi" w:cstheme="majorBidi"/>
          <w:color w:val="222222"/>
          <w:shd w:val="clear" w:color="auto" w:fill="FFFFFF"/>
        </w:rPr>
        <w:t xml:space="preserve">P (2019): </w:t>
      </w:r>
      <w:r w:rsidRPr="00AD4EA0">
        <w:rPr>
          <w:rFonts w:asciiTheme="majorBidi" w:hAnsiTheme="majorBidi" w:cstheme="majorBidi"/>
          <w:color w:val="222222"/>
          <w:shd w:val="clear" w:color="auto" w:fill="FFFFFF"/>
        </w:rPr>
        <w:t xml:space="preserve">Diagnostic Accuracy of Pleural Fluid Adenosine Deaminase for Diagnosing Tuberculosis. Meta-analysis of Spanish Studies </w:t>
      </w:r>
      <w:hyperlink r:id="rId5" w:tooltip="Go to table of contents for this volume/issue" w:history="1">
        <w:r w:rsidRPr="00AD4EA0">
          <w:rPr>
            <w:rFonts w:asciiTheme="majorBidi" w:hAnsiTheme="majorBidi" w:cstheme="majorBidi"/>
            <w:color w:val="222222"/>
            <w:shd w:val="clear" w:color="auto" w:fill="FFFFFF"/>
          </w:rPr>
          <w:t>Volume 55, Issue 1</w:t>
        </w:r>
      </w:hyperlink>
      <w:r w:rsidRPr="00AD4EA0">
        <w:rPr>
          <w:rFonts w:asciiTheme="majorBidi" w:hAnsiTheme="majorBidi" w:cstheme="majorBidi"/>
          <w:color w:val="222222"/>
          <w:shd w:val="clear" w:color="auto" w:fill="FFFFFF"/>
        </w:rPr>
        <w:t>, Pages 23-30</w:t>
      </w:r>
    </w:p>
    <w:p w:rsidR="00576B39" w:rsidRPr="00AD4EA0" w:rsidRDefault="00566E06"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131413"/>
        </w:rPr>
      </w:pPr>
      <w:proofErr w:type="spellStart"/>
      <w:r w:rsidRPr="00AD4EA0">
        <w:rPr>
          <w:rFonts w:asciiTheme="majorBidi" w:hAnsiTheme="majorBidi" w:cstheme="majorBidi"/>
          <w:color w:val="222222"/>
          <w:shd w:val="clear" w:color="auto" w:fill="FFFFFF"/>
        </w:rPr>
        <w:t>Neurath</w:t>
      </w:r>
      <w:proofErr w:type="spellEnd"/>
      <w:r w:rsidRPr="00AD4EA0">
        <w:rPr>
          <w:rFonts w:asciiTheme="majorBidi" w:hAnsiTheme="majorBidi" w:cstheme="majorBidi"/>
          <w:color w:val="222222"/>
          <w:shd w:val="clear" w:color="auto" w:fill="FFFFFF"/>
        </w:rPr>
        <w:t xml:space="preserve">  MF (2020): IL-36 in chronic inflammation and cancer. </w:t>
      </w:r>
      <w:hyperlink r:id="rId6" w:tooltip="Go to Cytokine &amp; Growth Factor Reviews on ScienceDirect" w:history="1">
        <w:r w:rsidRPr="00AD4EA0">
          <w:rPr>
            <w:rFonts w:asciiTheme="majorBidi" w:hAnsiTheme="majorBidi" w:cstheme="majorBidi"/>
            <w:color w:val="222222"/>
            <w:shd w:val="clear" w:color="auto" w:fill="FFFFFF"/>
          </w:rPr>
          <w:t>Cytokine &amp; Growth Factor Reviews</w:t>
        </w:r>
      </w:hyperlink>
      <w:r w:rsidRPr="00AD4EA0">
        <w:rPr>
          <w:rFonts w:asciiTheme="majorBidi" w:hAnsiTheme="majorBidi" w:cstheme="majorBidi"/>
          <w:color w:val="222222"/>
          <w:shd w:val="clear" w:color="auto" w:fill="FFFFFF"/>
        </w:rPr>
        <w:t xml:space="preserve">. </w:t>
      </w:r>
      <w:hyperlink r:id="rId7" w:tooltip="Go to table of contents for this volume/issue" w:history="1">
        <w:r w:rsidRPr="00AD4EA0">
          <w:rPr>
            <w:rFonts w:asciiTheme="majorBidi" w:hAnsiTheme="majorBidi" w:cstheme="majorBidi"/>
            <w:color w:val="222222"/>
            <w:shd w:val="clear" w:color="auto" w:fill="FFFFFF"/>
          </w:rPr>
          <w:t>Volume 55</w:t>
        </w:r>
      </w:hyperlink>
      <w:r w:rsidRPr="00AD4EA0">
        <w:rPr>
          <w:rFonts w:asciiTheme="majorBidi" w:hAnsiTheme="majorBidi" w:cstheme="majorBidi"/>
          <w:color w:val="222222"/>
          <w:shd w:val="clear" w:color="auto" w:fill="FFFFFF"/>
        </w:rPr>
        <w:t>, Pages 70-79</w:t>
      </w:r>
    </w:p>
    <w:p w:rsidR="00851815" w:rsidRPr="00AD4EA0" w:rsidRDefault="00E128B0"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222222"/>
          <w:shd w:val="clear" w:color="auto" w:fill="FFFFFF"/>
        </w:rPr>
      </w:pPr>
      <w:proofErr w:type="spellStart"/>
      <w:r w:rsidRPr="00AD4EA0">
        <w:rPr>
          <w:rFonts w:asciiTheme="majorBidi" w:hAnsiTheme="majorBidi" w:cstheme="majorBidi"/>
          <w:color w:val="222222"/>
          <w:shd w:val="clear" w:color="auto" w:fill="FFFFFF"/>
        </w:rPr>
        <w:t>Guo</w:t>
      </w:r>
      <w:proofErr w:type="spellEnd"/>
      <w:r w:rsidRPr="00AD4EA0">
        <w:rPr>
          <w:rFonts w:asciiTheme="majorBidi" w:hAnsiTheme="majorBidi" w:cstheme="majorBidi"/>
          <w:color w:val="222222"/>
          <w:shd w:val="clear" w:color="auto" w:fill="FFFFFF"/>
        </w:rPr>
        <w:t xml:space="preserve"> L, Zhang Q, </w:t>
      </w:r>
      <w:proofErr w:type="spellStart"/>
      <w:r w:rsidRPr="00AD4EA0">
        <w:rPr>
          <w:rFonts w:asciiTheme="majorBidi" w:hAnsiTheme="majorBidi" w:cstheme="majorBidi"/>
          <w:color w:val="222222"/>
          <w:shd w:val="clear" w:color="auto" w:fill="FFFFFF"/>
        </w:rPr>
        <w:t>Chengna</w:t>
      </w:r>
      <w:proofErr w:type="spellEnd"/>
      <w:r w:rsidRPr="00AD4EA0">
        <w:rPr>
          <w:rFonts w:asciiTheme="majorBidi" w:hAnsiTheme="majorBidi" w:cstheme="majorBidi"/>
          <w:color w:val="222222"/>
          <w:shd w:val="clear" w:color="auto" w:fill="FFFFFF"/>
        </w:rPr>
        <w:t xml:space="preserve"> L, </w:t>
      </w:r>
      <w:proofErr w:type="spellStart"/>
      <w:r w:rsidRPr="00AD4EA0">
        <w:rPr>
          <w:rFonts w:asciiTheme="majorBidi" w:hAnsiTheme="majorBidi" w:cstheme="majorBidi"/>
          <w:color w:val="222222"/>
          <w:shd w:val="clear" w:color="auto" w:fill="FFFFFF"/>
        </w:rPr>
        <w:t>Xudan</w:t>
      </w:r>
      <w:proofErr w:type="spellEnd"/>
      <w:r w:rsidRPr="00AD4EA0">
        <w:rPr>
          <w:rFonts w:asciiTheme="majorBidi" w:hAnsiTheme="majorBidi" w:cstheme="majorBidi"/>
          <w:color w:val="222222"/>
          <w:shd w:val="clear" w:color="auto" w:fill="FFFFFF"/>
        </w:rPr>
        <w:t xml:space="preserve"> M, </w:t>
      </w:r>
      <w:proofErr w:type="spellStart"/>
      <w:r w:rsidRPr="00AD4EA0">
        <w:rPr>
          <w:rFonts w:asciiTheme="majorBidi" w:hAnsiTheme="majorBidi" w:cstheme="majorBidi"/>
          <w:color w:val="222222"/>
          <w:shd w:val="clear" w:color="auto" w:fill="FFFFFF"/>
        </w:rPr>
        <w:t>SonG</w:t>
      </w:r>
      <w:proofErr w:type="spellEnd"/>
      <w:r w:rsidRPr="00AD4EA0">
        <w:rPr>
          <w:rFonts w:asciiTheme="majorBidi" w:hAnsiTheme="majorBidi" w:cstheme="majorBidi"/>
          <w:color w:val="222222"/>
          <w:shd w:val="clear" w:color="auto" w:fill="FFFFFF"/>
        </w:rPr>
        <w:t xml:space="preserve"> </w:t>
      </w:r>
      <w:proofErr w:type="spellStart"/>
      <w:r w:rsidRPr="00AD4EA0">
        <w:rPr>
          <w:rFonts w:asciiTheme="majorBidi" w:hAnsiTheme="majorBidi" w:cstheme="majorBidi"/>
          <w:color w:val="222222"/>
          <w:shd w:val="clear" w:color="auto" w:fill="FFFFFF"/>
        </w:rPr>
        <w:t>X,Huang</w:t>
      </w:r>
      <w:proofErr w:type="spellEnd"/>
      <w:r w:rsidRPr="00AD4EA0">
        <w:rPr>
          <w:rFonts w:asciiTheme="majorBidi" w:hAnsiTheme="majorBidi" w:cstheme="majorBidi"/>
          <w:color w:val="222222"/>
          <w:shd w:val="clear" w:color="auto" w:fill="FFFFFF"/>
        </w:rPr>
        <w:t xml:space="preserve"> J et al., (2022): A novel biomarker </w:t>
      </w:r>
      <w:r w:rsidR="00576B39" w:rsidRPr="00AD4EA0">
        <w:rPr>
          <w:rFonts w:asciiTheme="majorBidi" w:hAnsiTheme="majorBidi" w:cstheme="majorBidi"/>
          <w:color w:val="222222"/>
          <w:shd w:val="clear" w:color="auto" w:fill="FFFFFF"/>
        </w:rPr>
        <w:t>for pleural effusion diagnosis:</w:t>
      </w:r>
      <w:r w:rsidRPr="00AD4EA0">
        <w:rPr>
          <w:rFonts w:asciiTheme="majorBidi" w:hAnsiTheme="majorBidi" w:cstheme="majorBidi"/>
          <w:color w:val="222222"/>
          <w:shd w:val="clear" w:color="auto" w:fill="FFFFFF"/>
        </w:rPr>
        <w:t>Interleukin-36γ</w:t>
      </w:r>
      <w:r w:rsidR="00576B39" w:rsidRPr="00AD4EA0">
        <w:rPr>
          <w:rFonts w:asciiTheme="majorBidi" w:hAnsiTheme="majorBidi" w:cstheme="majorBidi"/>
          <w:color w:val="222222"/>
          <w:shd w:val="clear" w:color="auto" w:fill="FFFFFF"/>
        </w:rPr>
        <w:t xml:space="preserve"> </w:t>
      </w:r>
      <w:r w:rsidRPr="00AD4EA0">
        <w:rPr>
          <w:rFonts w:asciiTheme="majorBidi" w:hAnsiTheme="majorBidi" w:cstheme="majorBidi"/>
          <w:color w:val="222222"/>
          <w:shd w:val="clear" w:color="auto" w:fill="FFFFFF"/>
        </w:rPr>
        <w:t>in pleural fluid</w:t>
      </w:r>
      <w:r w:rsidR="00576B39" w:rsidRPr="00AD4EA0">
        <w:rPr>
          <w:rFonts w:asciiTheme="majorBidi" w:hAnsiTheme="majorBidi" w:cstheme="majorBidi"/>
          <w:color w:val="222222"/>
          <w:shd w:val="clear" w:color="auto" w:fill="FFFFFF"/>
        </w:rPr>
        <w:t xml:space="preserve">. J </w:t>
      </w:r>
      <w:proofErr w:type="spellStart"/>
      <w:r w:rsidR="00576B39" w:rsidRPr="00AD4EA0">
        <w:rPr>
          <w:rFonts w:asciiTheme="majorBidi" w:hAnsiTheme="majorBidi" w:cstheme="majorBidi"/>
          <w:color w:val="222222"/>
          <w:shd w:val="clear" w:color="auto" w:fill="FFFFFF"/>
        </w:rPr>
        <w:t>Clin</w:t>
      </w:r>
      <w:proofErr w:type="spellEnd"/>
      <w:r w:rsidR="00576B39" w:rsidRPr="00AD4EA0">
        <w:rPr>
          <w:rFonts w:asciiTheme="majorBidi" w:hAnsiTheme="majorBidi" w:cstheme="majorBidi"/>
          <w:color w:val="222222"/>
          <w:shd w:val="clear" w:color="auto" w:fill="FFFFFF"/>
        </w:rPr>
        <w:t xml:space="preserve"> Lab Anal. 2023;37:e24799.</w:t>
      </w:r>
    </w:p>
    <w:p w:rsidR="004B390F" w:rsidRPr="00AD4EA0" w:rsidRDefault="00851815"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222222"/>
          <w:shd w:val="clear" w:color="auto" w:fill="FFFFFF"/>
        </w:rPr>
      </w:pPr>
      <w:r w:rsidRPr="00AD4EA0">
        <w:rPr>
          <w:rFonts w:asciiTheme="majorBidi" w:hAnsiTheme="majorBidi" w:cstheme="majorBidi"/>
          <w:color w:val="222222"/>
          <w:shd w:val="clear" w:color="auto" w:fill="FFFFFF"/>
        </w:rPr>
        <w:t xml:space="preserve">Song X, </w:t>
      </w:r>
      <w:proofErr w:type="spellStart"/>
      <w:r w:rsidRPr="00AD4EA0">
        <w:rPr>
          <w:rFonts w:asciiTheme="majorBidi" w:hAnsiTheme="majorBidi" w:cstheme="majorBidi"/>
          <w:color w:val="222222"/>
          <w:shd w:val="clear" w:color="auto" w:fill="FFFFFF"/>
        </w:rPr>
        <w:t>Guo</w:t>
      </w:r>
      <w:proofErr w:type="spellEnd"/>
      <w:r w:rsidRPr="00AD4EA0">
        <w:rPr>
          <w:rFonts w:asciiTheme="majorBidi" w:hAnsiTheme="majorBidi" w:cstheme="majorBidi"/>
          <w:color w:val="222222"/>
          <w:shd w:val="clear" w:color="auto" w:fill="FFFFFF"/>
        </w:rPr>
        <w:t xml:space="preserve"> L, Zhang Q , Chen W, Fan W, </w:t>
      </w:r>
      <w:proofErr w:type="spellStart"/>
      <w:r w:rsidRPr="00AD4EA0">
        <w:rPr>
          <w:rFonts w:asciiTheme="majorBidi" w:hAnsiTheme="majorBidi" w:cstheme="majorBidi"/>
          <w:color w:val="222222"/>
          <w:shd w:val="clear" w:color="auto" w:fill="FFFFFF"/>
        </w:rPr>
        <w:t>Chengna</w:t>
      </w:r>
      <w:proofErr w:type="spellEnd"/>
      <w:r w:rsidRPr="00AD4EA0">
        <w:rPr>
          <w:rFonts w:asciiTheme="majorBidi" w:hAnsiTheme="majorBidi" w:cstheme="majorBidi"/>
          <w:color w:val="222222"/>
          <w:shd w:val="clear" w:color="auto" w:fill="FFFFFF"/>
        </w:rPr>
        <w:t xml:space="preserve"> </w:t>
      </w:r>
      <w:proofErr w:type="spellStart"/>
      <w:r w:rsidRPr="00AD4EA0">
        <w:rPr>
          <w:rFonts w:asciiTheme="majorBidi" w:hAnsiTheme="majorBidi" w:cstheme="majorBidi"/>
          <w:color w:val="222222"/>
          <w:shd w:val="clear" w:color="auto" w:fill="FFFFFF"/>
        </w:rPr>
        <w:t>Lv</w:t>
      </w:r>
      <w:proofErr w:type="spellEnd"/>
      <w:r w:rsidRPr="00AD4EA0">
        <w:rPr>
          <w:rFonts w:asciiTheme="majorBidi" w:hAnsiTheme="majorBidi" w:cstheme="majorBidi"/>
          <w:color w:val="222222"/>
          <w:shd w:val="clear" w:color="auto" w:fill="FFFFFF"/>
        </w:rPr>
        <w:t xml:space="preserve"> et al., (2023): The diagnostic value of interleukin-36 cytokines in pleural effusions of varying etiologies. </w:t>
      </w:r>
      <w:proofErr w:type="spellStart"/>
      <w:r w:rsidRPr="00AD4EA0">
        <w:rPr>
          <w:rFonts w:asciiTheme="majorBidi" w:hAnsiTheme="majorBidi" w:cstheme="majorBidi"/>
          <w:color w:val="222222"/>
          <w:shd w:val="clear" w:color="auto" w:fill="FFFFFF"/>
        </w:rPr>
        <w:t>Clinica</w:t>
      </w:r>
      <w:proofErr w:type="spellEnd"/>
      <w:r w:rsidRPr="00AD4EA0">
        <w:rPr>
          <w:rFonts w:asciiTheme="majorBidi" w:hAnsiTheme="majorBidi" w:cstheme="majorBidi"/>
          <w:color w:val="222222"/>
          <w:shd w:val="clear" w:color="auto" w:fill="FFFFFF"/>
        </w:rPr>
        <w:t xml:space="preserve"> </w:t>
      </w:r>
      <w:proofErr w:type="spellStart"/>
      <w:r w:rsidRPr="00AD4EA0">
        <w:rPr>
          <w:rFonts w:asciiTheme="majorBidi" w:hAnsiTheme="majorBidi" w:cstheme="majorBidi"/>
          <w:color w:val="222222"/>
          <w:shd w:val="clear" w:color="auto" w:fill="FFFFFF"/>
        </w:rPr>
        <w:t>Chimica</w:t>
      </w:r>
      <w:proofErr w:type="spellEnd"/>
      <w:r w:rsidRPr="00AD4EA0">
        <w:rPr>
          <w:rFonts w:asciiTheme="majorBidi" w:hAnsiTheme="majorBidi" w:cstheme="majorBidi"/>
          <w:color w:val="222222"/>
          <w:shd w:val="clear" w:color="auto" w:fill="FFFFFF"/>
        </w:rPr>
        <w:t xml:space="preserve"> </w:t>
      </w:r>
      <w:proofErr w:type="spellStart"/>
      <w:r w:rsidRPr="00AD4EA0">
        <w:rPr>
          <w:rFonts w:asciiTheme="majorBidi" w:hAnsiTheme="majorBidi" w:cstheme="majorBidi"/>
          <w:color w:val="222222"/>
          <w:shd w:val="clear" w:color="auto" w:fill="FFFFFF"/>
        </w:rPr>
        <w:t>Acta</w:t>
      </w:r>
      <w:proofErr w:type="spellEnd"/>
      <w:r w:rsidRPr="00AD4EA0">
        <w:rPr>
          <w:rFonts w:asciiTheme="majorBidi" w:hAnsiTheme="majorBidi" w:cstheme="majorBidi"/>
          <w:color w:val="222222"/>
          <w:shd w:val="clear" w:color="auto" w:fill="FFFFFF"/>
        </w:rPr>
        <w:t xml:space="preserve"> 549,117533</w:t>
      </w:r>
    </w:p>
    <w:p w:rsidR="004B390F" w:rsidRPr="00AD4EA0" w:rsidRDefault="004B390F"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222222"/>
          <w:shd w:val="clear" w:color="auto" w:fill="FFFFFF"/>
        </w:rPr>
      </w:pPr>
      <w:r w:rsidRPr="00AD4EA0">
        <w:rPr>
          <w:rFonts w:asciiTheme="majorBidi" w:hAnsiTheme="majorBidi" w:cstheme="majorBidi"/>
          <w:color w:val="222222"/>
          <w:shd w:val="clear" w:color="auto" w:fill="FFFFFF"/>
        </w:rPr>
        <w:t xml:space="preserve">Kovach MA, Singer BH, Newstead MW, et al., (2016): IL-36gamma is secreted in </w:t>
      </w:r>
      <w:proofErr w:type="spellStart"/>
      <w:r w:rsidRPr="00AD4EA0">
        <w:rPr>
          <w:rFonts w:asciiTheme="majorBidi" w:hAnsiTheme="majorBidi" w:cstheme="majorBidi"/>
          <w:color w:val="222222"/>
          <w:shd w:val="clear" w:color="auto" w:fill="FFFFFF"/>
        </w:rPr>
        <w:t>microparticles</w:t>
      </w:r>
      <w:proofErr w:type="spellEnd"/>
      <w:r w:rsidRPr="00AD4EA0">
        <w:rPr>
          <w:rFonts w:asciiTheme="majorBidi" w:hAnsiTheme="majorBidi" w:cstheme="majorBidi"/>
          <w:color w:val="222222"/>
          <w:shd w:val="clear" w:color="auto" w:fill="FFFFFF"/>
        </w:rPr>
        <w:t xml:space="preserve"> and exosomes by lung macrophages in response to bacteria and </w:t>
      </w:r>
      <w:r w:rsidRPr="00AD4EA0">
        <w:rPr>
          <w:rFonts w:asciiTheme="majorBidi" w:hAnsiTheme="majorBidi" w:cstheme="majorBidi"/>
          <w:color w:val="222222"/>
          <w:shd w:val="clear" w:color="auto" w:fill="FFFFFF"/>
        </w:rPr>
        <w:lastRenderedPageBreak/>
        <w:t xml:space="preserve">bacterial components. J </w:t>
      </w:r>
      <w:proofErr w:type="spellStart"/>
      <w:r w:rsidRPr="00AD4EA0">
        <w:rPr>
          <w:rFonts w:asciiTheme="majorBidi" w:hAnsiTheme="majorBidi" w:cstheme="majorBidi"/>
          <w:color w:val="222222"/>
          <w:shd w:val="clear" w:color="auto" w:fill="FFFFFF"/>
        </w:rPr>
        <w:t>Leukoc</w:t>
      </w:r>
      <w:proofErr w:type="spellEnd"/>
      <w:r w:rsidRPr="00AD4EA0">
        <w:rPr>
          <w:rFonts w:asciiTheme="majorBidi" w:hAnsiTheme="majorBidi" w:cstheme="majorBidi"/>
          <w:color w:val="222222"/>
          <w:shd w:val="clear" w:color="auto" w:fill="FFFFFF"/>
        </w:rPr>
        <w:t xml:space="preserve"> Biol.;100(2):413-421.</w:t>
      </w:r>
    </w:p>
    <w:p w:rsidR="004B390F" w:rsidRPr="00AD4EA0" w:rsidRDefault="004B390F" w:rsidP="00142CBA">
      <w:pPr>
        <w:pStyle w:val="ListParagraph"/>
        <w:numPr>
          <w:ilvl w:val="0"/>
          <w:numId w:val="4"/>
        </w:numPr>
        <w:autoSpaceDE w:val="0"/>
        <w:autoSpaceDN w:val="0"/>
        <w:adjustRightInd w:val="0"/>
        <w:spacing w:after="0" w:line="240" w:lineRule="auto"/>
        <w:jc w:val="both"/>
        <w:rPr>
          <w:rFonts w:asciiTheme="majorBidi" w:hAnsiTheme="majorBidi" w:cstheme="majorBidi"/>
          <w:color w:val="222222"/>
          <w:shd w:val="clear" w:color="auto" w:fill="FFFFFF"/>
        </w:rPr>
      </w:pPr>
      <w:proofErr w:type="spellStart"/>
      <w:r w:rsidRPr="00AD4EA0">
        <w:rPr>
          <w:rFonts w:asciiTheme="majorBidi" w:hAnsiTheme="majorBidi" w:cstheme="majorBidi"/>
          <w:color w:val="222222"/>
          <w:shd w:val="clear" w:color="auto" w:fill="FFFFFF"/>
        </w:rPr>
        <w:lastRenderedPageBreak/>
        <w:t>Porcel</w:t>
      </w:r>
      <w:proofErr w:type="spellEnd"/>
      <w:r w:rsidRPr="00AD4EA0">
        <w:rPr>
          <w:rFonts w:asciiTheme="majorBidi" w:hAnsiTheme="majorBidi" w:cstheme="majorBidi"/>
          <w:color w:val="222222"/>
          <w:shd w:val="clear" w:color="auto" w:fill="FFFFFF"/>
        </w:rPr>
        <w:t xml:space="preserve"> JM.(2016): Advances in the diagnosis of tuberculous </w:t>
      </w:r>
      <w:proofErr w:type="spellStart"/>
      <w:r w:rsidRPr="00AD4EA0">
        <w:rPr>
          <w:rFonts w:asciiTheme="majorBidi" w:hAnsiTheme="majorBidi" w:cstheme="majorBidi"/>
          <w:color w:val="222222"/>
          <w:shd w:val="clear" w:color="auto" w:fill="FFFFFF"/>
        </w:rPr>
        <w:t>pleuritis</w:t>
      </w:r>
      <w:proofErr w:type="spellEnd"/>
      <w:r w:rsidRPr="00AD4EA0">
        <w:rPr>
          <w:rFonts w:asciiTheme="majorBidi" w:hAnsiTheme="majorBidi" w:cstheme="majorBidi"/>
          <w:color w:val="222222"/>
          <w:shd w:val="clear" w:color="auto" w:fill="FFFFFF"/>
        </w:rPr>
        <w:t xml:space="preserve">. Ann </w:t>
      </w:r>
      <w:proofErr w:type="spellStart"/>
      <w:r w:rsidRPr="00AD4EA0">
        <w:rPr>
          <w:rFonts w:asciiTheme="majorBidi" w:hAnsiTheme="majorBidi" w:cstheme="majorBidi"/>
          <w:color w:val="222222"/>
          <w:shd w:val="clear" w:color="auto" w:fill="FFFFFF"/>
        </w:rPr>
        <w:t>Transl</w:t>
      </w:r>
      <w:proofErr w:type="spellEnd"/>
      <w:r w:rsidRPr="00AD4EA0">
        <w:rPr>
          <w:rFonts w:asciiTheme="majorBidi" w:hAnsiTheme="majorBidi" w:cstheme="majorBidi"/>
          <w:color w:val="222222"/>
          <w:shd w:val="clear" w:color="auto" w:fill="FFFFFF"/>
        </w:rPr>
        <w:t xml:space="preserve"> Med.;4(15):282.</w:t>
      </w:r>
    </w:p>
    <w:p w:rsidR="00386BD3" w:rsidRDefault="00386BD3" w:rsidP="00AD4EA0">
      <w:pPr>
        <w:autoSpaceDE w:val="0"/>
        <w:autoSpaceDN w:val="0"/>
        <w:adjustRightInd w:val="0"/>
        <w:spacing w:after="0" w:line="240" w:lineRule="auto"/>
        <w:jc w:val="both"/>
        <w:rPr>
          <w:rFonts w:asciiTheme="majorBidi" w:eastAsia="STIX-Regular" w:hAnsiTheme="majorBidi" w:cstheme="majorBidi"/>
        </w:rPr>
        <w:sectPr w:rsidR="00386BD3" w:rsidSect="00386BD3">
          <w:type w:val="continuous"/>
          <w:pgSz w:w="11906" w:h="16838" w:code="9"/>
          <w:pgMar w:top="720" w:right="720" w:bottom="720" w:left="720" w:header="720" w:footer="720" w:gutter="0"/>
          <w:cols w:num="2" w:space="720"/>
          <w:docGrid w:linePitch="360"/>
        </w:sectPr>
      </w:pPr>
    </w:p>
    <w:p w:rsidR="00AD4EA0" w:rsidRPr="00AD4EA0" w:rsidRDefault="00AD4EA0" w:rsidP="00AD4EA0">
      <w:pPr>
        <w:autoSpaceDE w:val="0"/>
        <w:autoSpaceDN w:val="0"/>
        <w:adjustRightInd w:val="0"/>
        <w:spacing w:after="0" w:line="240" w:lineRule="auto"/>
        <w:jc w:val="both"/>
        <w:rPr>
          <w:rFonts w:asciiTheme="majorBidi" w:eastAsia="STIX-Regular" w:hAnsiTheme="majorBidi" w:cstheme="majorBidi"/>
        </w:rPr>
      </w:pPr>
    </w:p>
    <w:p w:rsidR="00BE246B" w:rsidRPr="00AD4EA0" w:rsidRDefault="00BE246B" w:rsidP="00AD4EA0">
      <w:pPr>
        <w:spacing w:before="120" w:after="120" w:line="240" w:lineRule="auto"/>
        <w:jc w:val="both"/>
        <w:rPr>
          <w:rFonts w:asciiTheme="majorBidi" w:hAnsiTheme="majorBidi" w:cstheme="majorBidi"/>
          <w:lang w:bidi="ar-EG"/>
        </w:rPr>
      </w:pPr>
      <w:r w:rsidRPr="00AD4EA0">
        <w:rPr>
          <w:rFonts w:asciiTheme="majorBidi" w:hAnsiTheme="majorBidi" w:cstheme="majorBidi"/>
          <w:lang w:bidi="ar-EG"/>
        </w:rPr>
        <w:t xml:space="preserve">Table (1): </w:t>
      </w:r>
      <w:r w:rsidR="00A434EB" w:rsidRPr="00AD4EA0">
        <w:rPr>
          <w:rFonts w:asciiTheme="majorBidi" w:hAnsiTheme="majorBidi" w:cstheme="majorBidi"/>
          <w:lang w:bidi="ar-EG"/>
        </w:rPr>
        <w:t>Characteristic</w:t>
      </w:r>
      <w:r w:rsidRPr="00AD4EA0">
        <w:rPr>
          <w:rFonts w:asciiTheme="majorBidi" w:hAnsiTheme="majorBidi" w:cstheme="majorBidi"/>
          <w:lang w:bidi="ar-EG"/>
        </w:rPr>
        <w:t xml:space="preserve"> data of the studied patients and IL36</w:t>
      </w:r>
      <w:r w:rsidRPr="00AD4EA0">
        <w:rPr>
          <w:rFonts w:asciiTheme="majorBidi" w:hAnsiTheme="majorBidi" w:cstheme="majorBidi"/>
        </w:rPr>
        <w:t xml:space="preserve"> γ</w:t>
      </w:r>
      <w:r w:rsidRPr="00AD4EA0">
        <w:rPr>
          <w:rFonts w:asciiTheme="majorBidi" w:hAnsiTheme="majorBidi" w:cstheme="majorBidi"/>
          <w:lang w:bidi="ar-EG"/>
        </w:rPr>
        <w:t xml:space="preserve"> level among them.  </w:t>
      </w:r>
    </w:p>
    <w:tbl>
      <w:tblPr>
        <w:tblW w:w="9844"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0A0" w:firstRow="1" w:lastRow="0" w:firstColumn="1" w:lastColumn="0" w:noHBand="0" w:noVBand="0"/>
      </w:tblPr>
      <w:tblGrid>
        <w:gridCol w:w="2690"/>
        <w:gridCol w:w="2213"/>
        <w:gridCol w:w="2151"/>
        <w:gridCol w:w="1395"/>
        <w:gridCol w:w="1395"/>
      </w:tblGrid>
      <w:tr w:rsidR="00BE246B" w:rsidRPr="00AD4EA0" w:rsidTr="00EB1574">
        <w:trPr>
          <w:trHeight w:val="1082"/>
          <w:jc w:val="center"/>
        </w:trPr>
        <w:tc>
          <w:tcPr>
            <w:tcW w:w="2690"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All patients</w:t>
            </w:r>
          </w:p>
        </w:tc>
        <w:tc>
          <w:tcPr>
            <w:tcW w:w="2213"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Frequency (n=100)</w:t>
            </w:r>
          </w:p>
        </w:tc>
        <w:tc>
          <w:tcPr>
            <w:tcW w:w="2151"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IL36</w:t>
            </w:r>
            <w:r w:rsidR="000F4792" w:rsidRPr="00AD4EA0">
              <w:rPr>
                <w:rFonts w:asciiTheme="majorBidi" w:hAnsiTheme="majorBidi" w:cstheme="majorBidi"/>
              </w:rPr>
              <w:t xml:space="preserve"> γ</w:t>
            </w:r>
            <w:r w:rsidRPr="00AD4EA0">
              <w:rPr>
                <w:rFonts w:asciiTheme="majorBidi" w:eastAsia="Times New Roman" w:hAnsiTheme="majorBidi" w:cstheme="majorBidi"/>
              </w:rPr>
              <w:t xml:space="preserve"> </w:t>
            </w:r>
            <w:proofErr w:type="spellStart"/>
            <w:r w:rsidRPr="00AD4EA0">
              <w:rPr>
                <w:rFonts w:asciiTheme="majorBidi" w:eastAsia="Times New Roman" w:hAnsiTheme="majorBidi" w:cstheme="majorBidi"/>
              </w:rPr>
              <w:t>pg</w:t>
            </w:r>
            <w:proofErr w:type="spellEnd"/>
            <w:r w:rsidRPr="00AD4EA0">
              <w:rPr>
                <w:rFonts w:asciiTheme="majorBidi" w:eastAsia="Times New Roman" w:hAnsiTheme="majorBidi" w:cstheme="majorBidi"/>
              </w:rPr>
              <w:t>/ml (in pleural fluid)</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Median (IQR) (n=100)</w:t>
            </w:r>
          </w:p>
        </w:tc>
        <w:tc>
          <w:tcPr>
            <w:tcW w:w="1395"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Mann Whitney test(Z)</w:t>
            </w:r>
          </w:p>
        </w:tc>
        <w:tc>
          <w:tcPr>
            <w:tcW w:w="1395"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P</w:t>
            </w:r>
          </w:p>
        </w:tc>
      </w:tr>
      <w:tr w:rsidR="00BE246B" w:rsidRPr="00AD4EA0" w:rsidTr="00EB1574">
        <w:trPr>
          <w:trHeight w:val="547"/>
          <w:jc w:val="center"/>
        </w:trPr>
        <w:tc>
          <w:tcPr>
            <w:tcW w:w="2690"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Age (Mean ±SD)</w:t>
            </w:r>
          </w:p>
        </w:tc>
        <w:tc>
          <w:tcPr>
            <w:tcW w:w="2213"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51.85±15.5(Min-Max) 19-79</w:t>
            </w:r>
          </w:p>
        </w:tc>
        <w:tc>
          <w:tcPr>
            <w:tcW w:w="2151"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p>
        </w:tc>
        <w:tc>
          <w:tcPr>
            <w:tcW w:w="1395"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p>
        </w:tc>
        <w:tc>
          <w:tcPr>
            <w:tcW w:w="1395"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p>
        </w:tc>
      </w:tr>
      <w:tr w:rsidR="00BE246B" w:rsidRPr="00AD4EA0" w:rsidTr="00EB1574">
        <w:trPr>
          <w:trHeight w:val="794"/>
          <w:jc w:val="center"/>
        </w:trPr>
        <w:tc>
          <w:tcPr>
            <w:tcW w:w="269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HTN </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Yes</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No </w:t>
            </w:r>
          </w:p>
        </w:tc>
        <w:tc>
          <w:tcPr>
            <w:tcW w:w="2213" w:type="dxa"/>
          </w:tcPr>
          <w:p w:rsidR="00BE246B" w:rsidRPr="00252E2F" w:rsidRDefault="00BE246B" w:rsidP="00AD4EA0">
            <w:pPr>
              <w:spacing w:after="0" w:line="240" w:lineRule="auto"/>
              <w:jc w:val="both"/>
              <w:rPr>
                <w:rFonts w:asciiTheme="majorBidi" w:eastAsia="Times New Roman" w:hAnsiTheme="majorBidi" w:cstheme="majorBidi"/>
                <w:highlight w:val="yellow"/>
              </w:rPr>
            </w:pPr>
          </w:p>
          <w:p w:rsidR="00BE246B" w:rsidRPr="00252E2F" w:rsidRDefault="00BE246B" w:rsidP="00AD4EA0">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32</w:t>
            </w:r>
            <w:r w:rsidR="00252E2F" w:rsidRPr="00252E2F">
              <w:rPr>
                <w:rFonts w:asciiTheme="majorBidi" w:eastAsia="Times New Roman" w:hAnsiTheme="majorBidi" w:cstheme="majorBidi"/>
                <w:highlight w:val="yellow"/>
              </w:rPr>
              <w:t>(32%)</w:t>
            </w:r>
          </w:p>
          <w:p w:rsidR="00BE246B" w:rsidRPr="00252E2F" w:rsidRDefault="00BE246B" w:rsidP="00AD4EA0">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68</w:t>
            </w:r>
            <w:r w:rsidR="00252E2F" w:rsidRPr="00252E2F">
              <w:rPr>
                <w:rFonts w:asciiTheme="majorBidi" w:eastAsia="Times New Roman" w:hAnsiTheme="majorBidi" w:cstheme="majorBidi"/>
                <w:highlight w:val="yellow"/>
              </w:rPr>
              <w:t>(68%)</w:t>
            </w:r>
          </w:p>
        </w:tc>
        <w:tc>
          <w:tcPr>
            <w:tcW w:w="2151"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301.01(684.0)</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343.0(2179.0)</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1.20</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0.230</w:t>
            </w:r>
          </w:p>
        </w:tc>
      </w:tr>
      <w:tr w:rsidR="00BE246B" w:rsidRPr="00AD4EA0" w:rsidTr="00EB1574">
        <w:trPr>
          <w:trHeight w:val="822"/>
          <w:jc w:val="center"/>
        </w:trPr>
        <w:tc>
          <w:tcPr>
            <w:tcW w:w="269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D.M</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No</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Yes </w:t>
            </w:r>
          </w:p>
        </w:tc>
        <w:tc>
          <w:tcPr>
            <w:tcW w:w="2213" w:type="dxa"/>
          </w:tcPr>
          <w:p w:rsidR="00BE246B" w:rsidRPr="00252E2F" w:rsidRDefault="00BE246B" w:rsidP="00AD4EA0">
            <w:pPr>
              <w:spacing w:after="0" w:line="240" w:lineRule="auto"/>
              <w:jc w:val="both"/>
              <w:rPr>
                <w:rFonts w:asciiTheme="majorBidi" w:eastAsia="Times New Roman" w:hAnsiTheme="majorBidi" w:cstheme="majorBidi"/>
                <w:highlight w:val="yellow"/>
              </w:rPr>
            </w:pP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66</w:t>
            </w:r>
            <w:r w:rsidR="00252E2F" w:rsidRPr="00252E2F">
              <w:rPr>
                <w:rFonts w:asciiTheme="majorBidi" w:eastAsia="Times New Roman" w:hAnsiTheme="majorBidi" w:cstheme="majorBidi"/>
                <w:highlight w:val="yellow"/>
              </w:rPr>
              <w:t>(66%)</w:t>
            </w: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34</w:t>
            </w:r>
            <w:r w:rsidR="00252E2F" w:rsidRPr="00252E2F">
              <w:rPr>
                <w:rFonts w:asciiTheme="majorBidi" w:eastAsia="Times New Roman" w:hAnsiTheme="majorBidi" w:cstheme="majorBidi"/>
                <w:highlight w:val="yellow"/>
              </w:rPr>
              <w:t>(34%)</w:t>
            </w:r>
          </w:p>
        </w:tc>
        <w:tc>
          <w:tcPr>
            <w:tcW w:w="2151" w:type="dxa"/>
            <w:tcBorders>
              <w:bottom w:val="single" w:sz="6" w:space="0" w:color="auto"/>
            </w:tcBorders>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323.50(682.45)</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327.11(2020.0)</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0.440</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0.660</w:t>
            </w:r>
          </w:p>
        </w:tc>
      </w:tr>
      <w:tr w:rsidR="00BE246B" w:rsidRPr="00AD4EA0" w:rsidTr="00EB1574">
        <w:trPr>
          <w:trHeight w:val="807"/>
          <w:jc w:val="center"/>
        </w:trPr>
        <w:tc>
          <w:tcPr>
            <w:tcW w:w="269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Smoking</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No</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Yes</w:t>
            </w:r>
          </w:p>
        </w:tc>
        <w:tc>
          <w:tcPr>
            <w:tcW w:w="2213" w:type="dxa"/>
          </w:tcPr>
          <w:p w:rsidR="00BE246B" w:rsidRPr="00252E2F" w:rsidRDefault="00BE246B" w:rsidP="00AD4EA0">
            <w:pPr>
              <w:spacing w:after="0" w:line="240" w:lineRule="auto"/>
              <w:jc w:val="both"/>
              <w:rPr>
                <w:rFonts w:asciiTheme="majorBidi" w:eastAsia="Times New Roman" w:hAnsiTheme="majorBidi" w:cstheme="majorBidi"/>
                <w:highlight w:val="yellow"/>
              </w:rPr>
            </w:pP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44</w:t>
            </w:r>
            <w:r w:rsidR="00252E2F" w:rsidRPr="00252E2F">
              <w:rPr>
                <w:rFonts w:asciiTheme="majorBidi" w:eastAsia="Times New Roman" w:hAnsiTheme="majorBidi" w:cstheme="majorBidi"/>
                <w:highlight w:val="yellow"/>
              </w:rPr>
              <w:t>(44%)</w:t>
            </w: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56</w:t>
            </w:r>
            <w:r w:rsidR="00252E2F" w:rsidRPr="00252E2F">
              <w:rPr>
                <w:rFonts w:asciiTheme="majorBidi" w:eastAsia="Times New Roman" w:hAnsiTheme="majorBidi" w:cstheme="majorBidi"/>
                <w:highlight w:val="yellow"/>
              </w:rPr>
              <w:t>(56%)</w:t>
            </w:r>
          </w:p>
        </w:tc>
        <w:tc>
          <w:tcPr>
            <w:tcW w:w="2151" w:type="dxa"/>
            <w:tcBorders>
              <w:top w:val="single" w:sz="6" w:space="0" w:color="auto"/>
              <w:bottom w:val="single" w:sz="4" w:space="0" w:color="auto"/>
            </w:tcBorders>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301.01(669.0)</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343.0(1685.0)</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1.059</w:t>
            </w:r>
          </w:p>
        </w:tc>
        <w:tc>
          <w:tcPr>
            <w:tcW w:w="1395" w:type="dxa"/>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0.290</w:t>
            </w:r>
          </w:p>
        </w:tc>
      </w:tr>
      <w:tr w:rsidR="00BE246B" w:rsidRPr="00AD4EA0" w:rsidTr="00EB1574">
        <w:trPr>
          <w:trHeight w:val="1068"/>
          <w:jc w:val="center"/>
        </w:trPr>
        <w:tc>
          <w:tcPr>
            <w:tcW w:w="2690" w:type="dxa"/>
            <w:tcBorders>
              <w:bottom w:val="single" w:sz="4" w:space="0" w:color="auto"/>
            </w:tcBorders>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Sex  </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Female </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Male</w:t>
            </w:r>
          </w:p>
          <w:p w:rsidR="00BE246B" w:rsidRPr="00AD4EA0" w:rsidRDefault="00BE246B" w:rsidP="00AD4EA0">
            <w:pPr>
              <w:spacing w:after="0" w:line="240" w:lineRule="auto"/>
              <w:jc w:val="both"/>
              <w:rPr>
                <w:rFonts w:asciiTheme="majorBidi" w:eastAsia="Times New Roman" w:hAnsiTheme="majorBidi" w:cstheme="majorBidi"/>
              </w:rPr>
            </w:pPr>
          </w:p>
        </w:tc>
        <w:tc>
          <w:tcPr>
            <w:tcW w:w="2213" w:type="dxa"/>
            <w:tcBorders>
              <w:bottom w:val="single" w:sz="4" w:space="0" w:color="auto"/>
            </w:tcBorders>
          </w:tcPr>
          <w:p w:rsidR="00BE246B" w:rsidRPr="00252E2F" w:rsidRDefault="00BE246B" w:rsidP="00AD4EA0">
            <w:pPr>
              <w:spacing w:after="0" w:line="240" w:lineRule="auto"/>
              <w:jc w:val="both"/>
              <w:rPr>
                <w:rFonts w:asciiTheme="majorBidi" w:eastAsia="Times New Roman" w:hAnsiTheme="majorBidi" w:cstheme="majorBidi"/>
                <w:highlight w:val="yellow"/>
              </w:rPr>
            </w:pP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35</w:t>
            </w:r>
            <w:r w:rsidR="00252E2F" w:rsidRPr="00252E2F">
              <w:rPr>
                <w:rFonts w:asciiTheme="majorBidi" w:eastAsia="Times New Roman" w:hAnsiTheme="majorBidi" w:cstheme="majorBidi"/>
                <w:highlight w:val="yellow"/>
              </w:rPr>
              <w:t>(35%)</w:t>
            </w:r>
          </w:p>
          <w:p w:rsidR="00BE246B" w:rsidRPr="00252E2F" w:rsidRDefault="00BE246B" w:rsidP="00252E2F">
            <w:pPr>
              <w:spacing w:after="0" w:line="240" w:lineRule="auto"/>
              <w:jc w:val="both"/>
              <w:rPr>
                <w:rFonts w:asciiTheme="majorBidi" w:eastAsia="Times New Roman" w:hAnsiTheme="majorBidi" w:cstheme="majorBidi"/>
                <w:highlight w:val="yellow"/>
              </w:rPr>
            </w:pPr>
            <w:r w:rsidRPr="00252E2F">
              <w:rPr>
                <w:rFonts w:asciiTheme="majorBidi" w:eastAsia="Times New Roman" w:hAnsiTheme="majorBidi" w:cstheme="majorBidi"/>
                <w:highlight w:val="yellow"/>
              </w:rPr>
              <w:t>65</w:t>
            </w:r>
            <w:r w:rsidR="00252E2F" w:rsidRPr="00252E2F">
              <w:rPr>
                <w:rFonts w:asciiTheme="majorBidi" w:eastAsia="Times New Roman" w:hAnsiTheme="majorBidi" w:cstheme="majorBidi"/>
                <w:highlight w:val="yellow"/>
              </w:rPr>
              <w:t>(65%)</w:t>
            </w:r>
          </w:p>
        </w:tc>
        <w:tc>
          <w:tcPr>
            <w:tcW w:w="2151" w:type="dxa"/>
            <w:tcBorders>
              <w:top w:val="single" w:sz="4" w:space="0" w:color="auto"/>
              <w:bottom w:val="single" w:sz="4" w:space="0" w:color="auto"/>
            </w:tcBorders>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288.03(620.0)</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334.0(2028)</w:t>
            </w:r>
          </w:p>
        </w:tc>
        <w:tc>
          <w:tcPr>
            <w:tcW w:w="1395" w:type="dxa"/>
            <w:tcBorders>
              <w:bottom w:val="single" w:sz="4" w:space="0" w:color="auto"/>
            </w:tcBorders>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0.734</w:t>
            </w:r>
          </w:p>
        </w:tc>
        <w:tc>
          <w:tcPr>
            <w:tcW w:w="1395" w:type="dxa"/>
            <w:tcBorders>
              <w:bottom w:val="single" w:sz="4" w:space="0" w:color="auto"/>
            </w:tcBorders>
          </w:tcPr>
          <w:p w:rsidR="00BE246B" w:rsidRPr="00AD4EA0" w:rsidRDefault="00BE246B" w:rsidP="00AD4EA0">
            <w:pPr>
              <w:spacing w:after="0" w:line="240" w:lineRule="auto"/>
              <w:jc w:val="both"/>
              <w:rPr>
                <w:rFonts w:asciiTheme="majorBidi" w:eastAsia="Times New Roman" w:hAnsiTheme="majorBidi" w:cstheme="majorBidi"/>
              </w:rPr>
            </w:pP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0.463</w:t>
            </w:r>
          </w:p>
        </w:tc>
      </w:tr>
    </w:tbl>
    <w:p w:rsidR="00D3659D" w:rsidRDefault="00D3659D"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8B2CF5" w:rsidRDefault="008B2CF5" w:rsidP="00AD4EA0">
      <w:pPr>
        <w:spacing w:before="120" w:after="120" w:line="240" w:lineRule="auto"/>
        <w:jc w:val="both"/>
        <w:rPr>
          <w:rFonts w:asciiTheme="majorBidi" w:hAnsiTheme="majorBidi" w:cstheme="majorBidi"/>
          <w:lang w:bidi="ar-EG"/>
        </w:rPr>
      </w:pPr>
    </w:p>
    <w:p w:rsidR="00BE246B" w:rsidRPr="00AD4EA0" w:rsidRDefault="00BE246B" w:rsidP="00AD4EA0">
      <w:pPr>
        <w:spacing w:before="120" w:after="120" w:line="240" w:lineRule="auto"/>
        <w:jc w:val="both"/>
        <w:rPr>
          <w:rFonts w:asciiTheme="majorBidi" w:hAnsiTheme="majorBidi" w:cstheme="majorBidi"/>
          <w:rtl/>
          <w:lang w:bidi="ar-EG"/>
        </w:rPr>
      </w:pPr>
      <w:r w:rsidRPr="00AD4EA0">
        <w:rPr>
          <w:rFonts w:asciiTheme="majorBidi" w:hAnsiTheme="majorBidi" w:cstheme="majorBidi"/>
          <w:lang w:bidi="ar-EG"/>
        </w:rPr>
        <w:t xml:space="preserve">Table (2): </w:t>
      </w:r>
      <w:r w:rsidRPr="00AD4EA0">
        <w:rPr>
          <w:rFonts w:asciiTheme="majorBidi" w:hAnsiTheme="majorBidi" w:cstheme="majorBidi"/>
        </w:rPr>
        <w:t>Comparison between pleural IL-36γ level in different studied groups.</w:t>
      </w:r>
    </w:p>
    <w:tbl>
      <w:tblPr>
        <w:tblW w:w="0" w:type="auto"/>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0A0" w:firstRow="1" w:lastRow="0" w:firstColumn="1" w:lastColumn="0" w:noHBand="0" w:noVBand="0"/>
      </w:tblPr>
      <w:tblGrid>
        <w:gridCol w:w="2270"/>
        <w:gridCol w:w="1816"/>
        <w:gridCol w:w="1179"/>
        <w:gridCol w:w="1179"/>
      </w:tblGrid>
      <w:tr w:rsidR="00BE246B" w:rsidRPr="00AD4EA0" w:rsidTr="00EB1574">
        <w:trPr>
          <w:jc w:val="center"/>
        </w:trPr>
        <w:tc>
          <w:tcPr>
            <w:tcW w:w="2270"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Cause </w:t>
            </w:r>
          </w:p>
        </w:tc>
        <w:tc>
          <w:tcPr>
            <w:tcW w:w="1816"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IL36</w:t>
            </w:r>
            <w:r w:rsidR="000F4792" w:rsidRPr="00AD4EA0">
              <w:rPr>
                <w:rFonts w:asciiTheme="majorBidi" w:hAnsiTheme="majorBidi" w:cstheme="majorBidi"/>
              </w:rPr>
              <w:t xml:space="preserve"> γ</w:t>
            </w:r>
            <w:r w:rsidRPr="00AD4EA0">
              <w:rPr>
                <w:rFonts w:asciiTheme="majorBidi" w:eastAsia="Times New Roman" w:hAnsiTheme="majorBidi" w:cstheme="majorBidi"/>
              </w:rPr>
              <w:t xml:space="preserve"> </w:t>
            </w:r>
            <w:proofErr w:type="spellStart"/>
            <w:r w:rsidRPr="00AD4EA0">
              <w:rPr>
                <w:rFonts w:asciiTheme="majorBidi" w:eastAsia="Times New Roman" w:hAnsiTheme="majorBidi" w:cstheme="majorBidi"/>
              </w:rPr>
              <w:t>pg</w:t>
            </w:r>
            <w:proofErr w:type="spellEnd"/>
            <w:r w:rsidRPr="00AD4EA0">
              <w:rPr>
                <w:rFonts w:asciiTheme="majorBidi" w:eastAsia="Times New Roman" w:hAnsiTheme="majorBidi" w:cstheme="majorBidi"/>
              </w:rPr>
              <w:t>/ml (in pleural fluid)</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Median (IQR)</w:t>
            </w:r>
          </w:p>
        </w:tc>
        <w:tc>
          <w:tcPr>
            <w:tcW w:w="1179"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proofErr w:type="spellStart"/>
            <w:r w:rsidRPr="00AD4EA0">
              <w:rPr>
                <w:rFonts w:asciiTheme="majorBidi" w:eastAsia="Times New Roman" w:hAnsiTheme="majorBidi" w:cstheme="majorBidi"/>
              </w:rPr>
              <w:t>Kruskal</w:t>
            </w:r>
            <w:proofErr w:type="spellEnd"/>
            <w:r w:rsidRPr="00AD4EA0">
              <w:rPr>
                <w:rFonts w:asciiTheme="majorBidi" w:eastAsia="Times New Roman" w:hAnsiTheme="majorBidi" w:cstheme="majorBidi"/>
              </w:rPr>
              <w:t xml:space="preserve"> Wallis</w:t>
            </w:r>
          </w:p>
        </w:tc>
        <w:tc>
          <w:tcPr>
            <w:tcW w:w="1179"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P</w:t>
            </w:r>
          </w:p>
        </w:tc>
      </w:tr>
      <w:tr w:rsidR="00BE246B" w:rsidRPr="00AD4EA0" w:rsidTr="00EB1574">
        <w:trPr>
          <w:trHeight w:val="474"/>
          <w:jc w:val="center"/>
        </w:trPr>
        <w:tc>
          <w:tcPr>
            <w:tcW w:w="227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 TPE (n=20)</w:t>
            </w:r>
          </w:p>
        </w:tc>
        <w:tc>
          <w:tcPr>
            <w:tcW w:w="1816"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774.89(193.88)</w:t>
            </w:r>
          </w:p>
        </w:tc>
        <w:tc>
          <w:tcPr>
            <w:tcW w:w="1179" w:type="dxa"/>
            <w:vMerge w:val="restart"/>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94.677</w:t>
            </w:r>
          </w:p>
        </w:tc>
        <w:tc>
          <w:tcPr>
            <w:tcW w:w="1179" w:type="dxa"/>
            <w:vMerge w:val="restart"/>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&lt;0.001</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(HS)</w:t>
            </w:r>
          </w:p>
        </w:tc>
      </w:tr>
      <w:tr w:rsidR="00BE246B" w:rsidRPr="00AD4EA0" w:rsidTr="00EB1574">
        <w:trPr>
          <w:trHeight w:val="551"/>
          <w:jc w:val="center"/>
        </w:trPr>
        <w:tc>
          <w:tcPr>
            <w:tcW w:w="227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MPE (n=20)</w:t>
            </w:r>
          </w:p>
        </w:tc>
        <w:tc>
          <w:tcPr>
            <w:tcW w:w="1816"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158.22(32.97)</w:t>
            </w: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r>
      <w:tr w:rsidR="00BE246B" w:rsidRPr="00AD4EA0" w:rsidTr="00EB1574">
        <w:trPr>
          <w:trHeight w:val="403"/>
          <w:jc w:val="center"/>
        </w:trPr>
        <w:tc>
          <w:tcPr>
            <w:tcW w:w="227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UPPE (n=20)</w:t>
            </w:r>
          </w:p>
        </w:tc>
        <w:tc>
          <w:tcPr>
            <w:tcW w:w="1816"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327.11(84.13)</w:t>
            </w: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r>
      <w:tr w:rsidR="00BE246B" w:rsidRPr="00AD4EA0" w:rsidTr="00EB1574">
        <w:trPr>
          <w:trHeight w:val="457"/>
          <w:jc w:val="center"/>
        </w:trPr>
        <w:tc>
          <w:tcPr>
            <w:tcW w:w="227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CPPE (n=20)</w:t>
            </w:r>
          </w:p>
        </w:tc>
        <w:tc>
          <w:tcPr>
            <w:tcW w:w="1816"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2920.30(612.30)</w:t>
            </w: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r>
      <w:tr w:rsidR="00BE246B" w:rsidRPr="00AD4EA0" w:rsidTr="00EB1574">
        <w:trPr>
          <w:trHeight w:val="643"/>
          <w:jc w:val="center"/>
        </w:trPr>
        <w:tc>
          <w:tcPr>
            <w:tcW w:w="2270" w:type="dxa"/>
            <w:vAlign w:val="center"/>
          </w:tcPr>
          <w:p w:rsidR="00BE246B" w:rsidRPr="00AD4EA0" w:rsidRDefault="00BE246B" w:rsidP="00AD4EA0">
            <w:pPr>
              <w:spacing w:after="0" w:line="240" w:lineRule="auto"/>
              <w:jc w:val="both"/>
              <w:rPr>
                <w:rFonts w:asciiTheme="majorBidi" w:eastAsia="Times New Roman" w:hAnsiTheme="majorBidi" w:cstheme="majorBidi"/>
              </w:rPr>
            </w:pPr>
            <w:proofErr w:type="spellStart"/>
            <w:r w:rsidRPr="00AD4EA0">
              <w:rPr>
                <w:rFonts w:asciiTheme="majorBidi" w:eastAsia="Times New Roman" w:hAnsiTheme="majorBidi" w:cstheme="majorBidi"/>
              </w:rPr>
              <w:t>Transudative</w:t>
            </w:r>
            <w:proofErr w:type="spellEnd"/>
            <w:r w:rsidRPr="00AD4EA0">
              <w:rPr>
                <w:rFonts w:asciiTheme="majorBidi" w:eastAsia="Times New Roman" w:hAnsiTheme="majorBidi" w:cstheme="majorBidi"/>
              </w:rPr>
              <w:t xml:space="preserve"> pleural effusion (n=20)</w:t>
            </w:r>
          </w:p>
        </w:tc>
        <w:tc>
          <w:tcPr>
            <w:tcW w:w="1816"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47.87 (23.43)</w:t>
            </w: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c>
          <w:tcPr>
            <w:tcW w:w="1179" w:type="dxa"/>
            <w:vMerge/>
          </w:tcPr>
          <w:p w:rsidR="00BE246B" w:rsidRPr="00AD4EA0" w:rsidRDefault="00BE246B" w:rsidP="00AD4EA0">
            <w:pPr>
              <w:spacing w:after="0" w:line="240" w:lineRule="auto"/>
              <w:jc w:val="both"/>
              <w:rPr>
                <w:rFonts w:asciiTheme="majorBidi" w:eastAsia="Times New Roman" w:hAnsiTheme="majorBidi" w:cstheme="majorBidi"/>
              </w:rPr>
            </w:pPr>
          </w:p>
        </w:tc>
      </w:tr>
    </w:tbl>
    <w:p w:rsidR="00BE246B" w:rsidRPr="00AD4EA0" w:rsidRDefault="00BE246B" w:rsidP="00AD4EA0">
      <w:pPr>
        <w:tabs>
          <w:tab w:val="left" w:pos="7335"/>
          <w:tab w:val="left" w:pos="7406"/>
        </w:tabs>
        <w:spacing w:before="120" w:after="120" w:line="240" w:lineRule="auto"/>
        <w:ind w:firstLine="720"/>
        <w:jc w:val="both"/>
        <w:rPr>
          <w:rFonts w:asciiTheme="majorBidi" w:hAnsiTheme="majorBidi" w:cstheme="majorBidi"/>
          <w:lang w:bidi="ar-EG"/>
        </w:rPr>
      </w:pPr>
      <w:r w:rsidRPr="00AD4EA0">
        <w:rPr>
          <w:rFonts w:asciiTheme="majorBidi" w:hAnsiTheme="majorBidi" w:cstheme="majorBidi"/>
          <w:lang w:bidi="ar-EG"/>
        </w:rPr>
        <w:t xml:space="preserve">TPE: Tuberculous pleural effusion*MPE: malignant pleural effusion*UPPE: uncomplicated </w:t>
      </w:r>
      <w:proofErr w:type="spellStart"/>
      <w:r w:rsidRPr="00AD4EA0">
        <w:rPr>
          <w:rFonts w:asciiTheme="majorBidi" w:hAnsiTheme="majorBidi" w:cstheme="majorBidi"/>
          <w:lang w:bidi="ar-EG"/>
        </w:rPr>
        <w:t>parapneumonic</w:t>
      </w:r>
      <w:proofErr w:type="spellEnd"/>
      <w:r w:rsidRPr="00AD4EA0">
        <w:rPr>
          <w:rFonts w:asciiTheme="majorBidi" w:hAnsiTheme="majorBidi" w:cstheme="majorBidi"/>
          <w:lang w:bidi="ar-EG"/>
        </w:rPr>
        <w:t xml:space="preserve"> pleural effusion*CPPE: complicated pleural effusion. *IL: interleukin</w:t>
      </w:r>
    </w:p>
    <w:p w:rsidR="00BE246B" w:rsidRPr="00AD4EA0" w:rsidRDefault="00BE246B" w:rsidP="00AD4EA0">
      <w:pPr>
        <w:spacing w:before="120" w:after="120" w:line="240" w:lineRule="auto"/>
        <w:jc w:val="both"/>
        <w:rPr>
          <w:rFonts w:asciiTheme="majorBidi" w:eastAsia="Times New Roman" w:hAnsiTheme="majorBidi" w:cstheme="majorBidi"/>
        </w:rPr>
      </w:pPr>
      <w:r w:rsidRPr="00AD4EA0">
        <w:rPr>
          <w:rFonts w:asciiTheme="majorBidi" w:hAnsiTheme="majorBidi" w:cstheme="majorBidi"/>
          <w:lang w:bidi="ar-EG"/>
        </w:rPr>
        <w:t xml:space="preserve">Table (3): </w:t>
      </w:r>
      <w:r w:rsidRPr="00AD4EA0">
        <w:rPr>
          <w:rFonts w:asciiTheme="majorBidi" w:hAnsiTheme="majorBidi" w:cstheme="majorBidi"/>
        </w:rPr>
        <w:t>Comparison between pleural IL-36γ level in infectious and non-infectious pleural effusion.</w:t>
      </w:r>
    </w:p>
    <w:p w:rsidR="00BE246B" w:rsidRPr="00AD4EA0" w:rsidRDefault="00BE246B" w:rsidP="00AD4EA0">
      <w:pPr>
        <w:spacing w:after="0" w:line="240" w:lineRule="auto"/>
        <w:jc w:val="both"/>
        <w:rPr>
          <w:rFonts w:asciiTheme="majorBidi" w:eastAsia="Times New Roman" w:hAnsiTheme="majorBidi" w:cstheme="majorBidi"/>
        </w:rPr>
      </w:pPr>
    </w:p>
    <w:tbl>
      <w:tblPr>
        <w:tblW w:w="0" w:type="auto"/>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0A0" w:firstRow="1" w:lastRow="0" w:firstColumn="1" w:lastColumn="0" w:noHBand="0" w:noVBand="0"/>
      </w:tblPr>
      <w:tblGrid>
        <w:gridCol w:w="3039"/>
        <w:gridCol w:w="2430"/>
        <w:gridCol w:w="1578"/>
        <w:gridCol w:w="1578"/>
      </w:tblGrid>
      <w:tr w:rsidR="00BE246B" w:rsidRPr="00AD4EA0" w:rsidTr="00EB1574">
        <w:trPr>
          <w:trHeight w:val="793"/>
          <w:jc w:val="center"/>
        </w:trPr>
        <w:tc>
          <w:tcPr>
            <w:tcW w:w="3039"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lastRenderedPageBreak/>
              <w:t xml:space="preserve">Cause </w:t>
            </w:r>
          </w:p>
        </w:tc>
        <w:tc>
          <w:tcPr>
            <w:tcW w:w="2430" w:type="dxa"/>
            <w:shd w:val="clear" w:color="auto" w:fill="BFBFBF"/>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IL36</w:t>
            </w:r>
            <w:r w:rsidR="000F4792" w:rsidRPr="00AD4EA0">
              <w:rPr>
                <w:rFonts w:asciiTheme="majorBidi" w:hAnsiTheme="majorBidi" w:cstheme="majorBidi"/>
              </w:rPr>
              <w:t xml:space="preserve"> γ</w:t>
            </w:r>
            <w:r w:rsidRPr="00AD4EA0">
              <w:rPr>
                <w:rFonts w:asciiTheme="majorBidi" w:eastAsia="Times New Roman" w:hAnsiTheme="majorBidi" w:cstheme="majorBidi"/>
              </w:rPr>
              <w:t xml:space="preserve"> </w:t>
            </w:r>
            <w:proofErr w:type="spellStart"/>
            <w:r w:rsidRPr="00AD4EA0">
              <w:rPr>
                <w:rFonts w:asciiTheme="majorBidi" w:eastAsia="Times New Roman" w:hAnsiTheme="majorBidi" w:cstheme="majorBidi"/>
              </w:rPr>
              <w:t>pg</w:t>
            </w:r>
            <w:proofErr w:type="spellEnd"/>
            <w:r w:rsidRPr="00AD4EA0">
              <w:rPr>
                <w:rFonts w:asciiTheme="majorBidi" w:eastAsia="Times New Roman" w:hAnsiTheme="majorBidi" w:cstheme="majorBidi"/>
              </w:rPr>
              <w:t>/</w:t>
            </w:r>
            <w:proofErr w:type="gramStart"/>
            <w:r w:rsidRPr="00AD4EA0">
              <w:rPr>
                <w:rFonts w:asciiTheme="majorBidi" w:eastAsia="Times New Roman" w:hAnsiTheme="majorBidi" w:cstheme="majorBidi"/>
              </w:rPr>
              <w:t>ml(</w:t>
            </w:r>
            <w:proofErr w:type="gramEnd"/>
            <w:r w:rsidRPr="00AD4EA0">
              <w:rPr>
                <w:rFonts w:asciiTheme="majorBidi" w:eastAsia="Times New Roman" w:hAnsiTheme="majorBidi" w:cstheme="majorBidi"/>
              </w:rPr>
              <w:t>in pleural fluid)</w:t>
            </w:r>
          </w:p>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Median (IQR)</w:t>
            </w:r>
          </w:p>
        </w:tc>
        <w:tc>
          <w:tcPr>
            <w:tcW w:w="1578"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Mann Whitney test(Z)</w:t>
            </w:r>
          </w:p>
        </w:tc>
        <w:tc>
          <w:tcPr>
            <w:tcW w:w="1578" w:type="dxa"/>
            <w:shd w:val="clear" w:color="auto" w:fill="BFBFBF"/>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P</w:t>
            </w:r>
          </w:p>
        </w:tc>
      </w:tr>
      <w:tr w:rsidR="00BE246B" w:rsidRPr="00AD4EA0" w:rsidTr="00EB1574">
        <w:trPr>
          <w:trHeight w:val="476"/>
          <w:jc w:val="center"/>
        </w:trPr>
        <w:tc>
          <w:tcPr>
            <w:tcW w:w="3039"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 Infectious pleural effusion (n=60)</w:t>
            </w:r>
          </w:p>
        </w:tc>
        <w:tc>
          <w:tcPr>
            <w:tcW w:w="243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774.89(2042.25)</w:t>
            </w:r>
          </w:p>
        </w:tc>
        <w:tc>
          <w:tcPr>
            <w:tcW w:w="1578" w:type="dxa"/>
            <w:vMerge w:val="restart"/>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8.429</w:t>
            </w:r>
          </w:p>
        </w:tc>
        <w:tc>
          <w:tcPr>
            <w:tcW w:w="1578" w:type="dxa"/>
            <w:vMerge w:val="restart"/>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&lt;0.001</w:t>
            </w:r>
          </w:p>
        </w:tc>
      </w:tr>
      <w:tr w:rsidR="00BE246B" w:rsidRPr="00AD4EA0" w:rsidTr="00EB1574">
        <w:trPr>
          <w:trHeight w:val="740"/>
          <w:jc w:val="center"/>
        </w:trPr>
        <w:tc>
          <w:tcPr>
            <w:tcW w:w="3039"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Non-infectious pleural effusion (n=40)</w:t>
            </w:r>
          </w:p>
        </w:tc>
        <w:tc>
          <w:tcPr>
            <w:tcW w:w="2430" w:type="dxa"/>
            <w:vAlign w:val="center"/>
          </w:tcPr>
          <w:p w:rsidR="00BE246B" w:rsidRPr="00AD4EA0" w:rsidRDefault="00BE246B" w:rsidP="00AD4EA0">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122(112.12)</w:t>
            </w:r>
          </w:p>
        </w:tc>
        <w:tc>
          <w:tcPr>
            <w:tcW w:w="1578" w:type="dxa"/>
            <w:vMerge/>
          </w:tcPr>
          <w:p w:rsidR="00BE246B" w:rsidRPr="00AD4EA0" w:rsidRDefault="00BE246B" w:rsidP="00AD4EA0">
            <w:pPr>
              <w:spacing w:after="0" w:line="240" w:lineRule="auto"/>
              <w:jc w:val="both"/>
              <w:rPr>
                <w:rFonts w:asciiTheme="majorBidi" w:eastAsia="Times New Roman" w:hAnsiTheme="majorBidi" w:cstheme="majorBidi"/>
              </w:rPr>
            </w:pPr>
          </w:p>
        </w:tc>
        <w:tc>
          <w:tcPr>
            <w:tcW w:w="1578" w:type="dxa"/>
            <w:vMerge/>
          </w:tcPr>
          <w:p w:rsidR="00BE246B" w:rsidRPr="00AD4EA0" w:rsidRDefault="00BE246B" w:rsidP="00AD4EA0">
            <w:pPr>
              <w:spacing w:after="0" w:line="240" w:lineRule="auto"/>
              <w:jc w:val="both"/>
              <w:rPr>
                <w:rFonts w:asciiTheme="majorBidi" w:eastAsia="Times New Roman" w:hAnsiTheme="majorBidi" w:cstheme="majorBidi"/>
              </w:rPr>
            </w:pPr>
          </w:p>
        </w:tc>
      </w:tr>
    </w:tbl>
    <w:p w:rsidR="000F4792" w:rsidRPr="002C3CA4" w:rsidRDefault="000F4792" w:rsidP="000F4792">
      <w:pPr>
        <w:spacing w:before="120" w:after="120" w:line="360" w:lineRule="auto"/>
        <w:jc w:val="both"/>
        <w:rPr>
          <w:rFonts w:ascii="Times New Roman" w:hAnsi="Times New Roman" w:cs="Times New Roman"/>
          <w:lang w:bidi="ar-EG"/>
        </w:rPr>
      </w:pPr>
      <w:r w:rsidRPr="00B352FD">
        <w:rPr>
          <w:rFonts w:ascii="Times New Roman" w:hAnsi="Times New Roman" w:cs="Times New Roman"/>
          <w:highlight w:val="yellow"/>
          <w:lang w:bidi="ar-EG"/>
        </w:rPr>
        <w:t xml:space="preserve">Table </w:t>
      </w:r>
      <w:r>
        <w:rPr>
          <w:rFonts w:ascii="Times New Roman" w:hAnsi="Times New Roman" w:cs="Times New Roman"/>
          <w:highlight w:val="yellow"/>
          <w:lang w:bidi="ar-EG"/>
        </w:rPr>
        <w:t>4</w:t>
      </w:r>
      <w:r>
        <w:rPr>
          <w:rFonts w:ascii="Times New Roman" w:hAnsi="Times New Roman" w:cs="Times New Roman"/>
          <w:lang w:bidi="ar-EG"/>
        </w:rPr>
        <w:t xml:space="preserve"> Comparison of </w:t>
      </w:r>
      <w:r w:rsidRPr="00AD4EA0">
        <w:rPr>
          <w:rFonts w:asciiTheme="majorBidi" w:eastAsia="Times New Roman" w:hAnsiTheme="majorBidi" w:cstheme="majorBidi"/>
        </w:rPr>
        <w:t>IL36</w:t>
      </w:r>
      <w:r w:rsidRPr="000F4792">
        <w:rPr>
          <w:rFonts w:asciiTheme="majorBidi" w:hAnsiTheme="majorBidi" w:cstheme="majorBidi"/>
        </w:rPr>
        <w:t xml:space="preserve"> </w:t>
      </w:r>
      <w:r w:rsidRPr="00AD4EA0">
        <w:rPr>
          <w:rFonts w:asciiTheme="majorBidi" w:hAnsiTheme="majorBidi" w:cstheme="majorBidi"/>
        </w:rPr>
        <w:t>γ</w:t>
      </w:r>
      <w:r>
        <w:rPr>
          <w:rFonts w:asciiTheme="majorBidi" w:eastAsia="Times New Roman" w:hAnsiTheme="majorBidi" w:cstheme="majorBidi"/>
        </w:rPr>
        <w:t xml:space="preserve"> levels as regarding sex in different groups</w:t>
      </w:r>
    </w:p>
    <w:tbl>
      <w:tblPr>
        <w:tblW w:w="0" w:type="auto"/>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0A0" w:firstRow="1" w:lastRow="0" w:firstColumn="1" w:lastColumn="0" w:noHBand="0" w:noVBand="0"/>
      </w:tblPr>
      <w:tblGrid>
        <w:gridCol w:w="1519"/>
        <w:gridCol w:w="1520"/>
        <w:gridCol w:w="2734"/>
        <w:gridCol w:w="1578"/>
        <w:gridCol w:w="1578"/>
      </w:tblGrid>
      <w:tr w:rsidR="000F4792" w:rsidRPr="00AD4EA0" w:rsidTr="00D22083">
        <w:trPr>
          <w:trHeight w:val="1278"/>
          <w:jc w:val="center"/>
        </w:trPr>
        <w:tc>
          <w:tcPr>
            <w:tcW w:w="3039" w:type="dxa"/>
            <w:gridSpan w:val="2"/>
            <w:shd w:val="clear" w:color="auto" w:fill="BFBFBF"/>
            <w:vAlign w:val="center"/>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Cause </w:t>
            </w:r>
          </w:p>
        </w:tc>
        <w:tc>
          <w:tcPr>
            <w:tcW w:w="2734" w:type="dxa"/>
            <w:shd w:val="clear" w:color="auto" w:fill="BFBFBF"/>
            <w:vAlign w:val="center"/>
          </w:tcPr>
          <w:p w:rsidR="000F4792" w:rsidRDefault="000F4792" w:rsidP="00D22083">
            <w:pPr>
              <w:spacing w:after="0" w:line="240" w:lineRule="auto"/>
              <w:jc w:val="center"/>
              <w:rPr>
                <w:rFonts w:asciiTheme="majorBidi" w:eastAsia="Times New Roman" w:hAnsiTheme="majorBidi" w:cstheme="majorBidi"/>
              </w:rPr>
            </w:pPr>
            <w:r w:rsidRPr="00AD4EA0">
              <w:rPr>
                <w:rFonts w:asciiTheme="majorBidi" w:eastAsia="Times New Roman" w:hAnsiTheme="majorBidi" w:cstheme="majorBidi"/>
              </w:rPr>
              <w:t>IL36</w:t>
            </w:r>
            <w:r w:rsidRPr="00AD4EA0">
              <w:rPr>
                <w:rFonts w:asciiTheme="majorBidi" w:hAnsiTheme="majorBidi" w:cstheme="majorBidi"/>
              </w:rPr>
              <w:t xml:space="preserve"> γ</w:t>
            </w:r>
            <w:r w:rsidRPr="00AD4EA0">
              <w:rPr>
                <w:rFonts w:asciiTheme="majorBidi" w:eastAsia="Times New Roman" w:hAnsiTheme="majorBidi" w:cstheme="majorBidi"/>
              </w:rPr>
              <w:t xml:space="preserve"> </w:t>
            </w:r>
            <w:proofErr w:type="spellStart"/>
            <w:r w:rsidRPr="00AD4EA0">
              <w:rPr>
                <w:rFonts w:asciiTheme="majorBidi" w:eastAsia="Times New Roman" w:hAnsiTheme="majorBidi" w:cstheme="majorBidi"/>
              </w:rPr>
              <w:t>pg</w:t>
            </w:r>
            <w:proofErr w:type="spellEnd"/>
            <w:r w:rsidRPr="00AD4EA0">
              <w:rPr>
                <w:rFonts w:asciiTheme="majorBidi" w:eastAsia="Times New Roman" w:hAnsiTheme="majorBidi" w:cstheme="majorBidi"/>
              </w:rPr>
              <w:t>/ml</w:t>
            </w:r>
            <w:r>
              <w:rPr>
                <w:rFonts w:asciiTheme="majorBidi" w:eastAsia="Times New Roman" w:hAnsiTheme="majorBidi" w:cstheme="majorBidi"/>
              </w:rPr>
              <w:t xml:space="preserve"> </w:t>
            </w:r>
          </w:p>
          <w:p w:rsidR="000F4792" w:rsidRPr="00AD4EA0" w:rsidRDefault="000F4792" w:rsidP="00D22083">
            <w:pPr>
              <w:spacing w:after="0" w:line="240" w:lineRule="auto"/>
              <w:jc w:val="center"/>
              <w:rPr>
                <w:rFonts w:asciiTheme="majorBidi" w:eastAsia="Times New Roman" w:hAnsiTheme="majorBidi" w:cstheme="majorBidi"/>
              </w:rPr>
            </w:pPr>
            <w:r w:rsidRPr="00AD4EA0">
              <w:rPr>
                <w:rFonts w:asciiTheme="majorBidi" w:eastAsia="Times New Roman" w:hAnsiTheme="majorBidi" w:cstheme="majorBidi"/>
              </w:rPr>
              <w:t>(in pleural fluid)</w:t>
            </w:r>
          </w:p>
          <w:p w:rsidR="000F4792" w:rsidRPr="00AD4EA0" w:rsidRDefault="000F4792" w:rsidP="00D22083">
            <w:pPr>
              <w:spacing w:after="0" w:line="240" w:lineRule="auto"/>
              <w:jc w:val="center"/>
              <w:rPr>
                <w:rFonts w:asciiTheme="majorBidi" w:eastAsia="Times New Roman" w:hAnsiTheme="majorBidi" w:cstheme="majorBidi"/>
              </w:rPr>
            </w:pPr>
            <w:r w:rsidRPr="00AD4EA0">
              <w:rPr>
                <w:rFonts w:asciiTheme="majorBidi" w:eastAsia="Times New Roman" w:hAnsiTheme="majorBidi" w:cstheme="majorBidi"/>
              </w:rPr>
              <w:t>Median (IQR)</w:t>
            </w:r>
          </w:p>
        </w:tc>
        <w:tc>
          <w:tcPr>
            <w:tcW w:w="1578" w:type="dxa"/>
            <w:shd w:val="clear" w:color="auto" w:fill="BFBFBF"/>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Mann Whitney test(Z)</w:t>
            </w:r>
          </w:p>
        </w:tc>
        <w:tc>
          <w:tcPr>
            <w:tcW w:w="1578" w:type="dxa"/>
            <w:shd w:val="clear" w:color="auto" w:fill="BFBFBF"/>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P</w:t>
            </w:r>
          </w:p>
        </w:tc>
      </w:tr>
      <w:tr w:rsidR="000F4792" w:rsidRPr="00AD4EA0" w:rsidTr="00D22083">
        <w:trPr>
          <w:trHeight w:val="525"/>
          <w:jc w:val="center"/>
        </w:trPr>
        <w:tc>
          <w:tcPr>
            <w:tcW w:w="1519" w:type="dxa"/>
            <w:vMerge w:val="restart"/>
            <w:tcBorders>
              <w:top w:val="single" w:sz="6" w:space="0" w:color="auto"/>
              <w:bottom w:val="single" w:sz="6"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 xml:space="preserve"> Infectious pleural effusion (n=60)</w:t>
            </w:r>
          </w:p>
        </w:tc>
        <w:tc>
          <w:tcPr>
            <w:tcW w:w="1520" w:type="dxa"/>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Female(n=20)</w:t>
            </w:r>
          </w:p>
        </w:tc>
        <w:tc>
          <w:tcPr>
            <w:tcW w:w="2734" w:type="dxa"/>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649.95</w:t>
            </w:r>
            <w:r w:rsidRPr="00AD4EA0">
              <w:rPr>
                <w:rFonts w:asciiTheme="majorBidi" w:eastAsia="Times New Roman" w:hAnsiTheme="majorBidi" w:cstheme="majorBidi"/>
              </w:rPr>
              <w:t>(</w:t>
            </w:r>
            <w:r>
              <w:rPr>
                <w:rFonts w:asciiTheme="majorBidi" w:eastAsia="Times New Roman" w:hAnsiTheme="majorBidi" w:cstheme="majorBidi"/>
              </w:rPr>
              <w:t>495.84</w:t>
            </w:r>
            <w:r w:rsidRPr="00AD4EA0">
              <w:rPr>
                <w:rFonts w:asciiTheme="majorBidi" w:eastAsia="Times New Roman" w:hAnsiTheme="majorBidi" w:cstheme="majorBidi"/>
              </w:rPr>
              <w:t>)</w:t>
            </w:r>
          </w:p>
        </w:tc>
        <w:tc>
          <w:tcPr>
            <w:tcW w:w="1578" w:type="dxa"/>
            <w:vMerge w:val="restart"/>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1.380</w:t>
            </w:r>
          </w:p>
        </w:tc>
        <w:tc>
          <w:tcPr>
            <w:tcW w:w="1578" w:type="dxa"/>
            <w:vMerge w:val="restart"/>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0.168</w:t>
            </w:r>
          </w:p>
        </w:tc>
      </w:tr>
      <w:tr w:rsidR="000F4792" w:rsidRPr="00AD4EA0" w:rsidTr="00D22083">
        <w:trPr>
          <w:trHeight w:val="254"/>
          <w:jc w:val="center"/>
        </w:trPr>
        <w:tc>
          <w:tcPr>
            <w:tcW w:w="1519" w:type="dxa"/>
            <w:vMerge/>
            <w:tcBorders>
              <w:top w:val="single" w:sz="4" w:space="0" w:color="auto"/>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p>
        </w:tc>
        <w:tc>
          <w:tcPr>
            <w:tcW w:w="1520"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Male(n=40)</w:t>
            </w:r>
          </w:p>
        </w:tc>
        <w:tc>
          <w:tcPr>
            <w:tcW w:w="2734"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806.0(2.555.5)</w:t>
            </w:r>
          </w:p>
        </w:tc>
        <w:tc>
          <w:tcPr>
            <w:tcW w:w="1578" w:type="dxa"/>
            <w:vMerge/>
            <w:tcBorders>
              <w:bottom w:val="single" w:sz="18" w:space="0" w:color="auto"/>
            </w:tcBorders>
          </w:tcPr>
          <w:p w:rsidR="000F4792" w:rsidRDefault="000F4792" w:rsidP="00D22083">
            <w:pPr>
              <w:spacing w:after="0" w:line="240" w:lineRule="auto"/>
              <w:jc w:val="both"/>
              <w:rPr>
                <w:rFonts w:asciiTheme="majorBidi" w:eastAsia="Times New Roman" w:hAnsiTheme="majorBidi" w:cstheme="majorBidi"/>
              </w:rPr>
            </w:pPr>
          </w:p>
        </w:tc>
        <w:tc>
          <w:tcPr>
            <w:tcW w:w="1578" w:type="dxa"/>
            <w:vMerge/>
            <w:tcBorders>
              <w:bottom w:val="single" w:sz="18" w:space="0" w:color="auto"/>
            </w:tcBorders>
          </w:tcPr>
          <w:p w:rsidR="000F4792" w:rsidRDefault="000F4792" w:rsidP="00D22083">
            <w:pPr>
              <w:spacing w:after="0" w:line="240" w:lineRule="auto"/>
              <w:jc w:val="both"/>
              <w:rPr>
                <w:rFonts w:asciiTheme="majorBidi" w:eastAsia="Times New Roman" w:hAnsiTheme="majorBidi" w:cstheme="majorBidi"/>
              </w:rPr>
            </w:pPr>
          </w:p>
        </w:tc>
      </w:tr>
      <w:tr w:rsidR="000F4792" w:rsidRPr="00AD4EA0" w:rsidTr="00D22083">
        <w:trPr>
          <w:trHeight w:val="588"/>
          <w:jc w:val="center"/>
        </w:trPr>
        <w:tc>
          <w:tcPr>
            <w:tcW w:w="1519" w:type="dxa"/>
            <w:vMerge w:val="restart"/>
            <w:tcBorders>
              <w:top w:val="single" w:sz="18" w:space="0" w:color="auto"/>
              <w:bottom w:val="single" w:sz="6"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Non-infectious pleural effusion (n=40)</w:t>
            </w:r>
          </w:p>
        </w:tc>
        <w:tc>
          <w:tcPr>
            <w:tcW w:w="1520"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Female(n=15)</w:t>
            </w:r>
          </w:p>
        </w:tc>
        <w:tc>
          <w:tcPr>
            <w:tcW w:w="2734"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sidRPr="00AD4EA0">
              <w:rPr>
                <w:rFonts w:asciiTheme="majorBidi" w:eastAsia="Times New Roman" w:hAnsiTheme="majorBidi" w:cstheme="majorBidi"/>
              </w:rPr>
              <w:t>1</w:t>
            </w:r>
            <w:r>
              <w:rPr>
                <w:rFonts w:asciiTheme="majorBidi" w:eastAsia="Times New Roman" w:hAnsiTheme="majorBidi" w:cstheme="majorBidi"/>
              </w:rPr>
              <w:t>3</w:t>
            </w:r>
            <w:r w:rsidRPr="00AD4EA0">
              <w:rPr>
                <w:rFonts w:asciiTheme="majorBidi" w:eastAsia="Times New Roman" w:hAnsiTheme="majorBidi" w:cstheme="majorBidi"/>
              </w:rPr>
              <w:t>2</w:t>
            </w:r>
            <w:r>
              <w:rPr>
                <w:rFonts w:asciiTheme="majorBidi" w:eastAsia="Times New Roman" w:hAnsiTheme="majorBidi" w:cstheme="majorBidi"/>
              </w:rPr>
              <w:t>.0</w:t>
            </w:r>
            <w:r w:rsidRPr="00AD4EA0">
              <w:rPr>
                <w:rFonts w:asciiTheme="majorBidi" w:eastAsia="Times New Roman" w:hAnsiTheme="majorBidi" w:cstheme="majorBidi"/>
              </w:rPr>
              <w:t>(</w:t>
            </w:r>
            <w:r>
              <w:rPr>
                <w:rFonts w:asciiTheme="majorBidi" w:eastAsia="Times New Roman" w:hAnsiTheme="majorBidi" w:cstheme="majorBidi"/>
              </w:rPr>
              <w:t>104.68</w:t>
            </w:r>
            <w:r w:rsidRPr="00AD4EA0">
              <w:rPr>
                <w:rFonts w:asciiTheme="majorBidi" w:eastAsia="Times New Roman" w:hAnsiTheme="majorBidi" w:cstheme="majorBidi"/>
              </w:rPr>
              <w:t>)</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1.048</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0.295</w:t>
            </w:r>
          </w:p>
        </w:tc>
      </w:tr>
      <w:tr w:rsidR="000F4792" w:rsidRPr="00AD4EA0" w:rsidTr="00D22083">
        <w:trPr>
          <w:trHeight w:val="375"/>
          <w:jc w:val="center"/>
        </w:trPr>
        <w:tc>
          <w:tcPr>
            <w:tcW w:w="1519" w:type="dxa"/>
            <w:vMerge/>
            <w:tcBorders>
              <w:top w:val="single" w:sz="4" w:space="0" w:color="auto"/>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p>
        </w:tc>
        <w:tc>
          <w:tcPr>
            <w:tcW w:w="1520"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Male(n=25)</w:t>
            </w:r>
          </w:p>
        </w:tc>
        <w:tc>
          <w:tcPr>
            <w:tcW w:w="2734"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64.000(112.00)</w:t>
            </w:r>
          </w:p>
        </w:tc>
        <w:tc>
          <w:tcPr>
            <w:tcW w:w="1578" w:type="dxa"/>
            <w:vMerge/>
            <w:tcBorders>
              <w:bottom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p>
        </w:tc>
        <w:tc>
          <w:tcPr>
            <w:tcW w:w="1578" w:type="dxa"/>
            <w:vMerge/>
            <w:tcBorders>
              <w:bottom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p>
        </w:tc>
      </w:tr>
      <w:tr w:rsidR="000F4792" w:rsidRPr="00AD4EA0" w:rsidTr="00D22083">
        <w:trPr>
          <w:trHeight w:val="375"/>
          <w:jc w:val="center"/>
        </w:trPr>
        <w:tc>
          <w:tcPr>
            <w:tcW w:w="1519" w:type="dxa"/>
            <w:vMerge w:val="restart"/>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TPE(n=20)</w:t>
            </w:r>
          </w:p>
        </w:tc>
        <w:tc>
          <w:tcPr>
            <w:tcW w:w="1520"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Female(n=10)</w:t>
            </w:r>
          </w:p>
        </w:tc>
        <w:tc>
          <w:tcPr>
            <w:tcW w:w="2734"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782.00(193.65)</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0.189</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0.850</w:t>
            </w:r>
          </w:p>
        </w:tc>
      </w:tr>
      <w:tr w:rsidR="000F4792" w:rsidRPr="00AD4EA0" w:rsidTr="00D22083">
        <w:trPr>
          <w:trHeight w:val="375"/>
          <w:jc w:val="center"/>
        </w:trPr>
        <w:tc>
          <w:tcPr>
            <w:tcW w:w="1519" w:type="dxa"/>
            <w:vMerge/>
            <w:tcBorders>
              <w:bottom w:val="single" w:sz="18" w:space="0" w:color="auto"/>
            </w:tcBorders>
            <w:vAlign w:val="center"/>
          </w:tcPr>
          <w:p w:rsidR="000F4792" w:rsidRDefault="000F4792" w:rsidP="00D22083">
            <w:pPr>
              <w:spacing w:after="0" w:line="240" w:lineRule="auto"/>
              <w:jc w:val="both"/>
              <w:rPr>
                <w:rFonts w:asciiTheme="majorBidi" w:eastAsia="Times New Roman" w:hAnsiTheme="majorBidi" w:cstheme="majorBidi"/>
              </w:rPr>
            </w:pPr>
          </w:p>
        </w:tc>
        <w:tc>
          <w:tcPr>
            <w:tcW w:w="1520"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Male(n=10)</w:t>
            </w:r>
          </w:p>
        </w:tc>
        <w:tc>
          <w:tcPr>
            <w:tcW w:w="2734" w:type="dxa"/>
            <w:tcBorders>
              <w:bottom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774.89(198.54)</w:t>
            </w:r>
          </w:p>
        </w:tc>
        <w:tc>
          <w:tcPr>
            <w:tcW w:w="1578" w:type="dxa"/>
            <w:vMerge/>
            <w:tcBorders>
              <w:bottom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p>
        </w:tc>
        <w:tc>
          <w:tcPr>
            <w:tcW w:w="1578" w:type="dxa"/>
            <w:vMerge/>
            <w:tcBorders>
              <w:bottom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p>
        </w:tc>
      </w:tr>
      <w:tr w:rsidR="000F4792" w:rsidRPr="00AD4EA0" w:rsidTr="00D22083">
        <w:trPr>
          <w:trHeight w:val="375"/>
          <w:jc w:val="center"/>
        </w:trPr>
        <w:tc>
          <w:tcPr>
            <w:tcW w:w="1519" w:type="dxa"/>
            <w:vMerge w:val="restart"/>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MPE (n=20)</w:t>
            </w:r>
          </w:p>
        </w:tc>
        <w:tc>
          <w:tcPr>
            <w:tcW w:w="1520"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Female(n=9)</w:t>
            </w:r>
          </w:p>
        </w:tc>
        <w:tc>
          <w:tcPr>
            <w:tcW w:w="2734" w:type="dxa"/>
            <w:tcBorders>
              <w:top w:val="single" w:sz="18" w:space="0" w:color="auto"/>
            </w:tcBorders>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155.00(39.31)</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0.608</w:t>
            </w:r>
          </w:p>
        </w:tc>
        <w:tc>
          <w:tcPr>
            <w:tcW w:w="1578" w:type="dxa"/>
            <w:vMerge w:val="restart"/>
            <w:tcBorders>
              <w:top w:val="single" w:sz="18" w:space="0" w:color="auto"/>
            </w:tcBorders>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0.543</w:t>
            </w:r>
          </w:p>
        </w:tc>
      </w:tr>
      <w:tr w:rsidR="000F4792" w:rsidRPr="00AD4EA0" w:rsidTr="00D22083">
        <w:trPr>
          <w:trHeight w:val="375"/>
          <w:jc w:val="center"/>
        </w:trPr>
        <w:tc>
          <w:tcPr>
            <w:tcW w:w="1519" w:type="dxa"/>
            <w:vMerge/>
            <w:vAlign w:val="center"/>
          </w:tcPr>
          <w:p w:rsidR="000F4792" w:rsidRDefault="000F4792" w:rsidP="00D22083">
            <w:pPr>
              <w:spacing w:after="0" w:line="240" w:lineRule="auto"/>
              <w:jc w:val="both"/>
              <w:rPr>
                <w:rFonts w:asciiTheme="majorBidi" w:eastAsia="Times New Roman" w:hAnsiTheme="majorBidi" w:cstheme="majorBidi"/>
              </w:rPr>
            </w:pPr>
          </w:p>
        </w:tc>
        <w:tc>
          <w:tcPr>
            <w:tcW w:w="1520" w:type="dxa"/>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Male(n=11)</w:t>
            </w:r>
          </w:p>
        </w:tc>
        <w:tc>
          <w:tcPr>
            <w:tcW w:w="2734" w:type="dxa"/>
            <w:vAlign w:val="center"/>
          </w:tcPr>
          <w:p w:rsidR="000F4792" w:rsidRPr="00AD4EA0" w:rsidRDefault="000F4792" w:rsidP="00D22083">
            <w:pPr>
              <w:spacing w:after="0" w:line="240" w:lineRule="auto"/>
              <w:jc w:val="both"/>
              <w:rPr>
                <w:rFonts w:asciiTheme="majorBidi" w:eastAsia="Times New Roman" w:hAnsiTheme="majorBidi" w:cstheme="majorBidi"/>
              </w:rPr>
            </w:pPr>
            <w:r>
              <w:rPr>
                <w:rFonts w:asciiTheme="majorBidi" w:eastAsia="Times New Roman" w:hAnsiTheme="majorBidi" w:cstheme="majorBidi"/>
              </w:rPr>
              <w:t>162.00(23.00)</w:t>
            </w:r>
          </w:p>
        </w:tc>
        <w:tc>
          <w:tcPr>
            <w:tcW w:w="1578" w:type="dxa"/>
            <w:vMerge/>
          </w:tcPr>
          <w:p w:rsidR="000F4792" w:rsidRPr="00AD4EA0" w:rsidRDefault="000F4792" w:rsidP="00D22083">
            <w:pPr>
              <w:spacing w:after="0" w:line="240" w:lineRule="auto"/>
              <w:jc w:val="both"/>
              <w:rPr>
                <w:rFonts w:asciiTheme="majorBidi" w:eastAsia="Times New Roman" w:hAnsiTheme="majorBidi" w:cstheme="majorBidi"/>
              </w:rPr>
            </w:pPr>
          </w:p>
        </w:tc>
        <w:tc>
          <w:tcPr>
            <w:tcW w:w="1578" w:type="dxa"/>
            <w:vMerge/>
          </w:tcPr>
          <w:p w:rsidR="000F4792" w:rsidRPr="00AD4EA0" w:rsidRDefault="000F4792" w:rsidP="00D22083">
            <w:pPr>
              <w:spacing w:after="0" w:line="240" w:lineRule="auto"/>
              <w:jc w:val="both"/>
              <w:rPr>
                <w:rFonts w:asciiTheme="majorBidi" w:eastAsia="Times New Roman" w:hAnsiTheme="majorBidi" w:cstheme="majorBidi"/>
              </w:rPr>
            </w:pPr>
          </w:p>
        </w:tc>
      </w:tr>
    </w:tbl>
    <w:p w:rsidR="000F4792" w:rsidRDefault="000F4792" w:rsidP="00AD4EA0">
      <w:pPr>
        <w:spacing w:before="120" w:after="120" w:line="240" w:lineRule="auto"/>
        <w:jc w:val="both"/>
        <w:rPr>
          <w:rFonts w:asciiTheme="majorBidi" w:hAnsiTheme="majorBidi" w:cstheme="majorBidi"/>
          <w:highlight w:val="yellow"/>
          <w:lang w:bidi="ar-EG"/>
        </w:rPr>
      </w:pPr>
    </w:p>
    <w:p w:rsidR="00BE246B" w:rsidRPr="00AD4EA0" w:rsidRDefault="000F4792" w:rsidP="00AD4EA0">
      <w:pPr>
        <w:spacing w:before="120" w:after="120" w:line="240" w:lineRule="auto"/>
        <w:jc w:val="both"/>
        <w:rPr>
          <w:rFonts w:asciiTheme="majorBidi" w:hAnsiTheme="majorBidi" w:cstheme="majorBidi"/>
          <w:lang w:bidi="ar-EG"/>
        </w:rPr>
      </w:pPr>
      <w:r>
        <w:rPr>
          <w:rFonts w:asciiTheme="majorBidi" w:hAnsiTheme="majorBidi" w:cstheme="majorBidi"/>
          <w:highlight w:val="yellow"/>
          <w:lang w:bidi="ar-EG"/>
        </w:rPr>
        <w:t>Table (5</w:t>
      </w:r>
      <w:r w:rsidR="00BE246B" w:rsidRPr="00895095">
        <w:rPr>
          <w:rFonts w:asciiTheme="majorBidi" w:hAnsiTheme="majorBidi" w:cstheme="majorBidi"/>
          <w:highlight w:val="yellow"/>
          <w:lang w:bidi="ar-EG"/>
        </w:rPr>
        <w:t>): Correlation between pleural IL36</w:t>
      </w:r>
      <w:r w:rsidR="00BE246B" w:rsidRPr="00895095">
        <w:rPr>
          <w:rFonts w:asciiTheme="majorBidi" w:hAnsiTheme="majorBidi" w:cstheme="majorBidi"/>
          <w:highlight w:val="yellow"/>
        </w:rPr>
        <w:t xml:space="preserve"> γ</w:t>
      </w:r>
      <w:r w:rsidR="00BE246B" w:rsidRPr="00895095">
        <w:rPr>
          <w:rFonts w:asciiTheme="majorBidi" w:hAnsiTheme="majorBidi" w:cstheme="majorBidi"/>
          <w:highlight w:val="yellow"/>
          <w:lang w:bidi="ar-EG"/>
        </w:rPr>
        <w:t xml:space="preserve"> (</w:t>
      </w:r>
      <w:proofErr w:type="spellStart"/>
      <w:r w:rsidR="00BE246B" w:rsidRPr="00895095">
        <w:rPr>
          <w:rFonts w:asciiTheme="majorBidi" w:hAnsiTheme="majorBidi" w:cstheme="majorBidi"/>
          <w:highlight w:val="yellow"/>
          <w:lang w:bidi="ar-EG"/>
        </w:rPr>
        <w:t>pg</w:t>
      </w:r>
      <w:proofErr w:type="spellEnd"/>
      <w:r w:rsidR="00BE246B" w:rsidRPr="00895095">
        <w:rPr>
          <w:rFonts w:asciiTheme="majorBidi" w:hAnsiTheme="majorBidi" w:cstheme="majorBidi"/>
          <w:highlight w:val="yellow"/>
          <w:lang w:bidi="ar-EG"/>
        </w:rPr>
        <w:t>/ml)</w:t>
      </w:r>
      <w:r w:rsidR="00BE246B" w:rsidRPr="00895095">
        <w:rPr>
          <w:rFonts w:asciiTheme="majorBidi" w:hAnsiTheme="majorBidi" w:cstheme="majorBidi"/>
          <w:highlight w:val="yellow"/>
          <w:rtl/>
          <w:lang w:bidi="ar-EG"/>
        </w:rPr>
        <w:t xml:space="preserve"> </w:t>
      </w:r>
      <w:r w:rsidR="00BE246B" w:rsidRPr="00895095">
        <w:rPr>
          <w:rFonts w:asciiTheme="majorBidi" w:hAnsiTheme="majorBidi" w:cstheme="majorBidi"/>
          <w:highlight w:val="yellow"/>
          <w:lang w:bidi="ar-EG"/>
        </w:rPr>
        <w:t>and pleural ADA(IU/L), tuberculin skin test and pleural LDH</w:t>
      </w:r>
      <w:r w:rsidR="00895095" w:rsidRPr="00895095">
        <w:rPr>
          <w:rFonts w:asciiTheme="majorBidi" w:hAnsiTheme="majorBidi" w:cstheme="majorBidi"/>
          <w:highlight w:val="yellow"/>
          <w:lang w:bidi="ar-EG"/>
        </w:rPr>
        <w:t xml:space="preserve"> in different groups</w:t>
      </w:r>
      <w:r w:rsidR="00BE246B" w:rsidRPr="00895095">
        <w:rPr>
          <w:rFonts w:asciiTheme="majorBidi" w:hAnsiTheme="majorBidi" w:cstheme="majorBidi"/>
          <w:highlight w:val="yellow"/>
          <w:lang w:bidi="ar-EG"/>
        </w:rPr>
        <w:t>.</w:t>
      </w:r>
    </w:p>
    <w:tbl>
      <w:tblPr>
        <w:tblStyle w:val="TableGrid"/>
        <w:tblW w:w="11178" w:type="dxa"/>
        <w:tblInd w:w="-1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178"/>
        <w:gridCol w:w="900"/>
        <w:gridCol w:w="990"/>
        <w:gridCol w:w="810"/>
        <w:gridCol w:w="900"/>
        <w:gridCol w:w="720"/>
        <w:gridCol w:w="900"/>
        <w:gridCol w:w="900"/>
        <w:gridCol w:w="900"/>
        <w:gridCol w:w="990"/>
        <w:gridCol w:w="990"/>
      </w:tblGrid>
      <w:tr w:rsidR="00244070" w:rsidRPr="00AD4EA0" w:rsidTr="00244070">
        <w:trPr>
          <w:trHeight w:val="273"/>
        </w:trPr>
        <w:tc>
          <w:tcPr>
            <w:tcW w:w="2178" w:type="dxa"/>
            <w:vMerge w:val="restart"/>
            <w:tcBorders>
              <w:top w:val="thinThickSmallGap" w:sz="24" w:space="0" w:color="auto"/>
            </w:tcBorders>
            <w:shd w:val="clear" w:color="auto" w:fill="BFBFBF"/>
          </w:tcPr>
          <w:p w:rsidR="00244070" w:rsidRPr="00AD4EA0" w:rsidRDefault="00244070" w:rsidP="001F19BF">
            <w:pPr>
              <w:jc w:val="both"/>
              <w:rPr>
                <w:rFonts w:asciiTheme="majorBidi" w:hAnsiTheme="majorBidi" w:cstheme="majorBidi"/>
                <w:lang w:bidi="ar-EG"/>
              </w:rPr>
            </w:pPr>
            <w:r w:rsidRPr="00AD4EA0">
              <w:rPr>
                <w:rFonts w:asciiTheme="majorBidi" w:hAnsiTheme="majorBidi" w:cstheme="majorBidi"/>
                <w:lang w:bidi="ar-EG"/>
              </w:rPr>
              <w:t>pleural IL36</w:t>
            </w:r>
            <w:r w:rsidRPr="00AD4EA0">
              <w:rPr>
                <w:rFonts w:asciiTheme="majorBidi" w:hAnsiTheme="majorBidi" w:cstheme="majorBidi"/>
              </w:rPr>
              <w:t xml:space="preserve"> γ</w:t>
            </w:r>
            <w:r w:rsidRPr="00AD4EA0">
              <w:rPr>
                <w:rFonts w:asciiTheme="majorBidi" w:hAnsiTheme="majorBidi" w:cstheme="majorBidi"/>
                <w:lang w:bidi="ar-EG"/>
              </w:rPr>
              <w:t xml:space="preserve"> (</w:t>
            </w:r>
            <w:proofErr w:type="spellStart"/>
            <w:r w:rsidRPr="00AD4EA0">
              <w:rPr>
                <w:rFonts w:asciiTheme="majorBidi" w:hAnsiTheme="majorBidi" w:cstheme="majorBidi"/>
                <w:lang w:bidi="ar-EG"/>
              </w:rPr>
              <w:t>pg</w:t>
            </w:r>
            <w:proofErr w:type="spellEnd"/>
            <w:r w:rsidRPr="00AD4EA0">
              <w:rPr>
                <w:rFonts w:asciiTheme="majorBidi" w:hAnsiTheme="majorBidi" w:cstheme="majorBidi"/>
                <w:lang w:bidi="ar-EG"/>
              </w:rPr>
              <w:t>/ml)</w:t>
            </w:r>
          </w:p>
        </w:tc>
        <w:tc>
          <w:tcPr>
            <w:tcW w:w="1890" w:type="dxa"/>
            <w:gridSpan w:val="2"/>
            <w:tcBorders>
              <w:top w:val="thinThickSmallGap" w:sz="24" w:space="0" w:color="auto"/>
              <w:bottom w:val="single" w:sz="4" w:space="0" w:color="auto"/>
            </w:tcBorders>
            <w:shd w:val="clear" w:color="auto" w:fill="BFBFBF"/>
          </w:tcPr>
          <w:p w:rsidR="00244070" w:rsidRPr="00AD4EA0" w:rsidRDefault="00244070" w:rsidP="001F19BF">
            <w:pPr>
              <w:jc w:val="both"/>
              <w:rPr>
                <w:rFonts w:asciiTheme="majorBidi" w:hAnsiTheme="majorBidi" w:cstheme="majorBidi"/>
                <w:lang w:bidi="ar-EG"/>
              </w:rPr>
            </w:pPr>
            <w:r>
              <w:rPr>
                <w:rFonts w:asciiTheme="majorBidi" w:hAnsiTheme="majorBidi" w:cstheme="majorBidi"/>
                <w:lang w:bidi="ar-EG"/>
              </w:rPr>
              <w:t>All groups(n=100)</w:t>
            </w:r>
          </w:p>
        </w:tc>
        <w:tc>
          <w:tcPr>
            <w:tcW w:w="1710" w:type="dxa"/>
            <w:gridSpan w:val="2"/>
            <w:tcBorders>
              <w:top w:val="thinThickSmallGap" w:sz="24" w:space="0" w:color="auto"/>
              <w:bottom w:val="single" w:sz="4" w:space="0" w:color="auto"/>
            </w:tcBorders>
            <w:shd w:val="clear" w:color="auto" w:fill="BFBFBF"/>
          </w:tcPr>
          <w:p w:rsidR="00244070" w:rsidRDefault="00244070" w:rsidP="001F19BF">
            <w:pPr>
              <w:jc w:val="both"/>
              <w:rPr>
                <w:rFonts w:asciiTheme="majorBidi" w:hAnsiTheme="majorBidi" w:cstheme="majorBidi"/>
                <w:lang w:bidi="ar-EG"/>
              </w:rPr>
            </w:pPr>
            <w:r>
              <w:rPr>
                <w:rFonts w:asciiTheme="majorBidi" w:hAnsiTheme="majorBidi" w:cstheme="majorBidi"/>
                <w:lang w:bidi="ar-EG"/>
              </w:rPr>
              <w:t>Infectious group (n=60)</w:t>
            </w:r>
          </w:p>
        </w:tc>
        <w:tc>
          <w:tcPr>
            <w:tcW w:w="1620" w:type="dxa"/>
            <w:gridSpan w:val="2"/>
            <w:tcBorders>
              <w:top w:val="thinThickSmallGap" w:sz="24" w:space="0" w:color="auto"/>
              <w:bottom w:val="single" w:sz="4" w:space="0" w:color="auto"/>
            </w:tcBorders>
            <w:shd w:val="clear" w:color="auto" w:fill="BFBFBF"/>
          </w:tcPr>
          <w:p w:rsidR="00244070" w:rsidRDefault="00244070" w:rsidP="001F19BF">
            <w:pPr>
              <w:jc w:val="both"/>
              <w:rPr>
                <w:rFonts w:asciiTheme="majorBidi" w:hAnsiTheme="majorBidi" w:cstheme="majorBidi"/>
                <w:lang w:bidi="ar-EG"/>
              </w:rPr>
            </w:pPr>
            <w:r>
              <w:rPr>
                <w:rFonts w:asciiTheme="majorBidi" w:hAnsiTheme="majorBidi" w:cstheme="majorBidi"/>
                <w:lang w:bidi="ar-EG"/>
              </w:rPr>
              <w:t>Non-Infectious group (n=40)</w:t>
            </w:r>
          </w:p>
        </w:tc>
        <w:tc>
          <w:tcPr>
            <w:tcW w:w="1800" w:type="dxa"/>
            <w:gridSpan w:val="2"/>
            <w:tcBorders>
              <w:top w:val="thinThickSmallGap" w:sz="24" w:space="0" w:color="auto"/>
              <w:bottom w:val="single" w:sz="4" w:space="0" w:color="auto"/>
            </w:tcBorders>
            <w:shd w:val="clear" w:color="auto" w:fill="BFBFBF"/>
          </w:tcPr>
          <w:p w:rsidR="00244070" w:rsidRDefault="00244070" w:rsidP="001F19BF">
            <w:pPr>
              <w:jc w:val="both"/>
              <w:rPr>
                <w:rFonts w:asciiTheme="majorBidi" w:hAnsiTheme="majorBidi" w:cstheme="majorBidi"/>
                <w:lang w:bidi="ar-EG"/>
              </w:rPr>
            </w:pPr>
            <w:r>
              <w:rPr>
                <w:rFonts w:asciiTheme="majorBidi" w:hAnsiTheme="majorBidi" w:cstheme="majorBidi"/>
                <w:lang w:bidi="ar-EG"/>
              </w:rPr>
              <w:t>TPE</w:t>
            </w:r>
          </w:p>
          <w:p w:rsidR="00244070" w:rsidRDefault="00244070" w:rsidP="001F19BF">
            <w:pPr>
              <w:jc w:val="both"/>
              <w:rPr>
                <w:rFonts w:asciiTheme="majorBidi" w:hAnsiTheme="majorBidi" w:cstheme="majorBidi"/>
                <w:lang w:bidi="ar-EG"/>
              </w:rPr>
            </w:pPr>
            <w:r>
              <w:rPr>
                <w:rFonts w:asciiTheme="majorBidi" w:hAnsiTheme="majorBidi" w:cstheme="majorBidi"/>
                <w:lang w:bidi="ar-EG"/>
              </w:rPr>
              <w:t>(n=20)</w:t>
            </w:r>
          </w:p>
        </w:tc>
        <w:tc>
          <w:tcPr>
            <w:tcW w:w="1980" w:type="dxa"/>
            <w:gridSpan w:val="2"/>
            <w:tcBorders>
              <w:top w:val="thinThickSmallGap" w:sz="24" w:space="0" w:color="auto"/>
              <w:bottom w:val="single" w:sz="4" w:space="0" w:color="auto"/>
            </w:tcBorders>
            <w:shd w:val="clear" w:color="auto" w:fill="BFBFBF"/>
          </w:tcPr>
          <w:p w:rsidR="00244070" w:rsidRDefault="00244070" w:rsidP="001F19BF">
            <w:pPr>
              <w:jc w:val="both"/>
              <w:rPr>
                <w:rFonts w:asciiTheme="majorBidi" w:hAnsiTheme="majorBidi" w:cstheme="majorBidi"/>
                <w:lang w:bidi="ar-EG"/>
              </w:rPr>
            </w:pPr>
            <w:r>
              <w:rPr>
                <w:rFonts w:asciiTheme="majorBidi" w:hAnsiTheme="majorBidi" w:cstheme="majorBidi"/>
                <w:lang w:bidi="ar-EG"/>
              </w:rPr>
              <w:t>MPE</w:t>
            </w:r>
          </w:p>
          <w:p w:rsidR="00244070" w:rsidRDefault="00244070" w:rsidP="001F19BF">
            <w:pPr>
              <w:jc w:val="both"/>
              <w:rPr>
                <w:rFonts w:asciiTheme="majorBidi" w:hAnsiTheme="majorBidi" w:cstheme="majorBidi"/>
                <w:lang w:bidi="ar-EG"/>
              </w:rPr>
            </w:pPr>
            <w:r>
              <w:rPr>
                <w:rFonts w:asciiTheme="majorBidi" w:hAnsiTheme="majorBidi" w:cstheme="majorBidi"/>
                <w:lang w:bidi="ar-EG"/>
              </w:rPr>
              <w:t>(n=20)</w:t>
            </w:r>
          </w:p>
        </w:tc>
      </w:tr>
      <w:tr w:rsidR="00244070" w:rsidRPr="00AD4EA0" w:rsidTr="00244070">
        <w:trPr>
          <w:trHeight w:val="272"/>
        </w:trPr>
        <w:tc>
          <w:tcPr>
            <w:tcW w:w="2178" w:type="dxa"/>
            <w:vMerge/>
            <w:tcBorders>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p>
        </w:tc>
        <w:tc>
          <w:tcPr>
            <w:tcW w:w="900" w:type="dxa"/>
            <w:tcBorders>
              <w:top w:val="single" w:sz="4"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3452F0">
              <w:rPr>
                <w:rFonts w:asciiTheme="majorBidi" w:hAnsiTheme="majorBidi" w:cstheme="majorBidi"/>
                <w:color w:val="000000"/>
                <w:sz w:val="20"/>
                <w:szCs w:val="20"/>
              </w:rPr>
              <w:t xml:space="preserve"> </w:t>
            </w:r>
            <w:r>
              <w:rPr>
                <w:rFonts w:asciiTheme="majorBidi" w:hAnsiTheme="majorBidi" w:cstheme="majorBidi"/>
                <w:color w:val="000000"/>
              </w:rPr>
              <w:t>(</w:t>
            </w:r>
            <w:r>
              <w:rPr>
                <w:rFonts w:cs="Calibri"/>
                <w:color w:val="000000"/>
              </w:rPr>
              <w:t>ρ</w:t>
            </w:r>
            <w:r>
              <w:rPr>
                <w:rFonts w:cs="Calibri" w:hint="cs"/>
                <w:color w:val="000000"/>
                <w:rtl/>
              </w:rPr>
              <w:t>(</w:t>
            </w:r>
            <w:r>
              <w:rPr>
                <w:rFonts w:cs="Calibri"/>
                <w:color w:val="000000"/>
                <w:vertAlign w:val="superscript"/>
              </w:rPr>
              <w:t>*</w:t>
            </w:r>
            <w:r>
              <w:rPr>
                <w:rStyle w:val="mwe-math-mathml-inline"/>
                <w:rFonts w:ascii="Tahoma" w:hAnsi="Tahoma" w:cs="Tahoma"/>
                <w:vanish/>
                <w:color w:val="202122"/>
                <w:sz w:val="25"/>
                <w:szCs w:val="25"/>
                <w:shd w:val="clear" w:color="auto" w:fill="FFFFFF"/>
              </w:rPr>
              <w:t>��</w:t>
            </w:r>
          </w:p>
        </w:tc>
        <w:tc>
          <w:tcPr>
            <w:tcW w:w="990" w:type="dxa"/>
            <w:tcBorders>
              <w:top w:val="single" w:sz="4" w:space="0" w:color="auto"/>
              <w:bottom w:val="single" w:sz="6" w:space="0" w:color="auto"/>
            </w:tcBorders>
            <w:shd w:val="clear" w:color="auto" w:fill="BFBFBF"/>
          </w:tcPr>
          <w:p w:rsidR="00244070" w:rsidRDefault="00244070" w:rsidP="001F19BF">
            <w:pPr>
              <w:jc w:val="both"/>
              <w:rPr>
                <w:rFonts w:asciiTheme="majorBidi" w:hAnsiTheme="majorBidi" w:cstheme="majorBidi"/>
                <w:color w:val="000000"/>
              </w:rPr>
            </w:pPr>
            <w:r w:rsidRPr="00AD4EA0">
              <w:rPr>
                <w:rFonts w:asciiTheme="majorBidi" w:hAnsiTheme="majorBidi" w:cstheme="majorBidi"/>
                <w:lang w:bidi="ar-EG"/>
              </w:rPr>
              <w:t>P value</w:t>
            </w:r>
          </w:p>
        </w:tc>
        <w:tc>
          <w:tcPr>
            <w:tcW w:w="810" w:type="dxa"/>
            <w:tcBorders>
              <w:top w:val="single" w:sz="4"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3452F0">
              <w:rPr>
                <w:rFonts w:asciiTheme="majorBidi" w:hAnsiTheme="majorBidi" w:cstheme="majorBidi"/>
                <w:color w:val="000000"/>
                <w:sz w:val="20"/>
                <w:szCs w:val="20"/>
              </w:rPr>
              <w:t xml:space="preserve"> </w:t>
            </w:r>
            <w:r>
              <w:rPr>
                <w:rFonts w:asciiTheme="majorBidi" w:hAnsiTheme="majorBidi" w:cstheme="majorBidi"/>
                <w:color w:val="000000"/>
              </w:rPr>
              <w:t>(</w:t>
            </w:r>
            <w:r>
              <w:rPr>
                <w:rFonts w:cs="Calibri"/>
                <w:color w:val="000000"/>
              </w:rPr>
              <w:t>ρ</w:t>
            </w:r>
            <w:r>
              <w:rPr>
                <w:rFonts w:cs="Calibri" w:hint="cs"/>
                <w:color w:val="000000"/>
                <w:rtl/>
              </w:rPr>
              <w:t>(</w:t>
            </w:r>
            <w:r>
              <w:rPr>
                <w:rFonts w:cs="Calibri"/>
                <w:color w:val="000000"/>
                <w:vertAlign w:val="superscript"/>
              </w:rPr>
              <w:t>*</w:t>
            </w:r>
            <w:r>
              <w:rPr>
                <w:rStyle w:val="mwe-math-mathml-inline"/>
                <w:rFonts w:ascii="Tahoma" w:hAnsi="Tahoma" w:cs="Tahoma"/>
                <w:vanish/>
                <w:color w:val="202122"/>
                <w:sz w:val="25"/>
                <w:szCs w:val="25"/>
                <w:shd w:val="clear" w:color="auto" w:fill="FFFFFF"/>
              </w:rPr>
              <w:t>��</w:t>
            </w:r>
          </w:p>
        </w:tc>
        <w:tc>
          <w:tcPr>
            <w:tcW w:w="900" w:type="dxa"/>
            <w:tcBorders>
              <w:top w:val="single" w:sz="4" w:space="0" w:color="auto"/>
              <w:bottom w:val="single" w:sz="6" w:space="0" w:color="auto"/>
            </w:tcBorders>
            <w:shd w:val="clear" w:color="auto" w:fill="BFBFBF"/>
          </w:tcPr>
          <w:p w:rsidR="00244070" w:rsidRDefault="00244070" w:rsidP="001F19BF">
            <w:pPr>
              <w:jc w:val="both"/>
              <w:rPr>
                <w:rFonts w:asciiTheme="majorBidi" w:hAnsiTheme="majorBidi" w:cstheme="majorBidi"/>
                <w:color w:val="000000"/>
              </w:rPr>
            </w:pPr>
            <w:r w:rsidRPr="00AD4EA0">
              <w:rPr>
                <w:rFonts w:asciiTheme="majorBidi" w:hAnsiTheme="majorBidi" w:cstheme="majorBidi"/>
                <w:lang w:bidi="ar-EG"/>
              </w:rPr>
              <w:t xml:space="preserve">P </w:t>
            </w:r>
          </w:p>
        </w:tc>
        <w:tc>
          <w:tcPr>
            <w:tcW w:w="720" w:type="dxa"/>
            <w:tcBorders>
              <w:top w:val="single" w:sz="4"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3452F0">
              <w:rPr>
                <w:rFonts w:asciiTheme="majorBidi" w:hAnsiTheme="majorBidi" w:cstheme="majorBidi"/>
                <w:color w:val="000000"/>
                <w:sz w:val="20"/>
                <w:szCs w:val="20"/>
              </w:rPr>
              <w:t xml:space="preserve"> </w:t>
            </w:r>
            <w:r>
              <w:rPr>
                <w:rFonts w:asciiTheme="majorBidi" w:hAnsiTheme="majorBidi" w:cstheme="majorBidi"/>
                <w:color w:val="000000"/>
              </w:rPr>
              <w:t>(</w:t>
            </w:r>
            <w:r>
              <w:rPr>
                <w:rFonts w:cs="Calibri"/>
                <w:color w:val="000000"/>
              </w:rPr>
              <w:t>ρ</w:t>
            </w:r>
            <w:r>
              <w:rPr>
                <w:rFonts w:cs="Calibri" w:hint="cs"/>
                <w:color w:val="000000"/>
                <w:rtl/>
              </w:rPr>
              <w:t>(</w:t>
            </w:r>
            <w:r>
              <w:rPr>
                <w:rFonts w:cs="Calibri"/>
                <w:color w:val="000000"/>
                <w:vertAlign w:val="superscript"/>
              </w:rPr>
              <w:t>*</w:t>
            </w:r>
            <w:r>
              <w:rPr>
                <w:rStyle w:val="mwe-math-mathml-inline"/>
                <w:rFonts w:ascii="Tahoma" w:hAnsi="Tahoma" w:cs="Tahoma"/>
                <w:vanish/>
                <w:color w:val="202122"/>
                <w:sz w:val="25"/>
                <w:szCs w:val="25"/>
                <w:shd w:val="clear" w:color="auto" w:fill="FFFFFF"/>
              </w:rPr>
              <w:t>��</w:t>
            </w:r>
          </w:p>
        </w:tc>
        <w:tc>
          <w:tcPr>
            <w:tcW w:w="900" w:type="dxa"/>
            <w:tcBorders>
              <w:top w:val="single" w:sz="4" w:space="0" w:color="auto"/>
              <w:bottom w:val="single" w:sz="6" w:space="0" w:color="auto"/>
            </w:tcBorders>
            <w:shd w:val="clear" w:color="auto" w:fill="BFBFBF"/>
          </w:tcPr>
          <w:p w:rsidR="00244070" w:rsidRDefault="00244070" w:rsidP="001F19BF">
            <w:pPr>
              <w:jc w:val="both"/>
              <w:rPr>
                <w:rFonts w:asciiTheme="majorBidi" w:hAnsiTheme="majorBidi" w:cstheme="majorBidi"/>
                <w:color w:val="000000"/>
              </w:rPr>
            </w:pPr>
            <w:r w:rsidRPr="00AD4EA0">
              <w:rPr>
                <w:rFonts w:asciiTheme="majorBidi" w:hAnsiTheme="majorBidi" w:cstheme="majorBidi"/>
                <w:lang w:bidi="ar-EG"/>
              </w:rPr>
              <w:t xml:space="preserve">P </w:t>
            </w:r>
          </w:p>
        </w:tc>
        <w:tc>
          <w:tcPr>
            <w:tcW w:w="900" w:type="dxa"/>
            <w:tcBorders>
              <w:top w:val="single" w:sz="4"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3452F0">
              <w:rPr>
                <w:rFonts w:asciiTheme="majorBidi" w:hAnsiTheme="majorBidi" w:cstheme="majorBidi"/>
                <w:color w:val="000000"/>
                <w:sz w:val="20"/>
                <w:szCs w:val="20"/>
              </w:rPr>
              <w:t xml:space="preserve"> </w:t>
            </w:r>
            <w:r>
              <w:rPr>
                <w:rFonts w:asciiTheme="majorBidi" w:hAnsiTheme="majorBidi" w:cstheme="majorBidi"/>
                <w:color w:val="000000"/>
              </w:rPr>
              <w:t>(</w:t>
            </w:r>
            <w:r>
              <w:rPr>
                <w:rFonts w:cs="Calibri"/>
                <w:color w:val="000000"/>
              </w:rPr>
              <w:t>ρ</w:t>
            </w:r>
            <w:r>
              <w:rPr>
                <w:rFonts w:cs="Calibri" w:hint="cs"/>
                <w:color w:val="000000"/>
                <w:rtl/>
              </w:rPr>
              <w:t>(</w:t>
            </w:r>
            <w:r>
              <w:rPr>
                <w:rFonts w:cs="Calibri"/>
                <w:color w:val="000000"/>
                <w:vertAlign w:val="superscript"/>
              </w:rPr>
              <w:t>*</w:t>
            </w:r>
            <w:r>
              <w:rPr>
                <w:rStyle w:val="mwe-math-mathml-inline"/>
                <w:rFonts w:ascii="Tahoma" w:hAnsi="Tahoma" w:cs="Tahoma"/>
                <w:vanish/>
                <w:color w:val="202122"/>
                <w:sz w:val="25"/>
                <w:szCs w:val="25"/>
                <w:shd w:val="clear" w:color="auto" w:fill="FFFFFF"/>
              </w:rPr>
              <w:t>��</w:t>
            </w:r>
          </w:p>
        </w:tc>
        <w:tc>
          <w:tcPr>
            <w:tcW w:w="900" w:type="dxa"/>
            <w:tcBorders>
              <w:top w:val="single" w:sz="4" w:space="0" w:color="auto"/>
              <w:bottom w:val="single" w:sz="6" w:space="0" w:color="auto"/>
            </w:tcBorders>
            <w:shd w:val="clear" w:color="auto" w:fill="BFBFBF"/>
          </w:tcPr>
          <w:p w:rsidR="00244070" w:rsidRDefault="00244070" w:rsidP="001F19BF">
            <w:pPr>
              <w:jc w:val="both"/>
              <w:rPr>
                <w:rFonts w:asciiTheme="majorBidi" w:hAnsiTheme="majorBidi" w:cstheme="majorBidi"/>
                <w:color w:val="000000"/>
              </w:rPr>
            </w:pPr>
            <w:r w:rsidRPr="00AD4EA0">
              <w:rPr>
                <w:rFonts w:asciiTheme="majorBidi" w:hAnsiTheme="majorBidi" w:cstheme="majorBidi"/>
                <w:lang w:bidi="ar-EG"/>
              </w:rPr>
              <w:t xml:space="preserve">P </w:t>
            </w:r>
          </w:p>
        </w:tc>
        <w:tc>
          <w:tcPr>
            <w:tcW w:w="990" w:type="dxa"/>
            <w:tcBorders>
              <w:top w:val="single" w:sz="4"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3452F0">
              <w:rPr>
                <w:rFonts w:asciiTheme="majorBidi" w:hAnsiTheme="majorBidi" w:cstheme="majorBidi"/>
                <w:color w:val="000000"/>
                <w:sz w:val="20"/>
                <w:szCs w:val="20"/>
              </w:rPr>
              <w:t xml:space="preserve"> </w:t>
            </w:r>
            <w:r>
              <w:rPr>
                <w:rFonts w:asciiTheme="majorBidi" w:hAnsiTheme="majorBidi" w:cstheme="majorBidi"/>
                <w:color w:val="000000"/>
              </w:rPr>
              <w:t>(</w:t>
            </w:r>
            <w:r>
              <w:rPr>
                <w:rFonts w:cs="Calibri"/>
                <w:color w:val="000000"/>
              </w:rPr>
              <w:t>ρ</w:t>
            </w:r>
            <w:r>
              <w:rPr>
                <w:rFonts w:cs="Calibri" w:hint="cs"/>
                <w:color w:val="000000"/>
                <w:rtl/>
              </w:rPr>
              <w:t>(</w:t>
            </w:r>
            <w:r>
              <w:rPr>
                <w:rFonts w:cs="Calibri"/>
                <w:color w:val="000000"/>
                <w:vertAlign w:val="superscript"/>
              </w:rPr>
              <w:t>*</w:t>
            </w:r>
            <w:r>
              <w:rPr>
                <w:rStyle w:val="mwe-math-mathml-inline"/>
                <w:rFonts w:ascii="Tahoma" w:hAnsi="Tahoma" w:cs="Tahoma"/>
                <w:vanish/>
                <w:color w:val="202122"/>
                <w:sz w:val="25"/>
                <w:szCs w:val="25"/>
                <w:shd w:val="clear" w:color="auto" w:fill="FFFFFF"/>
              </w:rPr>
              <w:t>��</w:t>
            </w:r>
          </w:p>
        </w:tc>
        <w:tc>
          <w:tcPr>
            <w:tcW w:w="990" w:type="dxa"/>
            <w:tcBorders>
              <w:top w:val="single" w:sz="4" w:space="0" w:color="auto"/>
              <w:bottom w:val="single" w:sz="6" w:space="0" w:color="auto"/>
            </w:tcBorders>
            <w:shd w:val="clear" w:color="auto" w:fill="BFBFBF"/>
          </w:tcPr>
          <w:p w:rsidR="00244070" w:rsidRDefault="00244070" w:rsidP="001F19BF">
            <w:pPr>
              <w:jc w:val="both"/>
              <w:rPr>
                <w:rFonts w:asciiTheme="majorBidi" w:hAnsiTheme="majorBidi" w:cstheme="majorBidi"/>
                <w:color w:val="000000"/>
              </w:rPr>
            </w:pPr>
            <w:r w:rsidRPr="00AD4EA0">
              <w:rPr>
                <w:rFonts w:asciiTheme="majorBidi" w:hAnsiTheme="majorBidi" w:cstheme="majorBidi"/>
                <w:lang w:bidi="ar-EG"/>
              </w:rPr>
              <w:t xml:space="preserve">P </w:t>
            </w:r>
          </w:p>
        </w:tc>
      </w:tr>
      <w:tr w:rsidR="00244070" w:rsidRPr="00AD4EA0" w:rsidTr="00244070">
        <w:trPr>
          <w:trHeight w:val="544"/>
        </w:trPr>
        <w:tc>
          <w:tcPr>
            <w:tcW w:w="2178" w:type="dxa"/>
            <w:tcBorders>
              <w:top w:val="single" w:sz="6" w:space="0" w:color="auto"/>
              <w:bottom w:val="single" w:sz="6" w:space="0" w:color="auto"/>
            </w:tcBorders>
            <w:shd w:val="clear" w:color="auto" w:fill="BFBFBF"/>
          </w:tcPr>
          <w:p w:rsidR="00244070" w:rsidRPr="003452F0" w:rsidRDefault="00244070" w:rsidP="001F19BF">
            <w:pPr>
              <w:jc w:val="both"/>
              <w:rPr>
                <w:rFonts w:asciiTheme="majorBidi" w:hAnsiTheme="majorBidi" w:cstheme="majorBidi"/>
                <w:lang w:bidi="ar-EG"/>
              </w:rPr>
            </w:pPr>
            <w:r w:rsidRPr="00AD4EA0">
              <w:rPr>
                <w:rFonts w:asciiTheme="majorBidi" w:hAnsiTheme="majorBidi" w:cstheme="majorBidi"/>
                <w:lang w:bidi="ar-EG"/>
              </w:rPr>
              <w:t xml:space="preserve">pleural ADA(IU/L) </w:t>
            </w:r>
          </w:p>
        </w:tc>
        <w:tc>
          <w:tcPr>
            <w:tcW w:w="900" w:type="dxa"/>
            <w:tcBorders>
              <w:top w:val="single" w:sz="6" w:space="0" w:color="auto"/>
              <w:bottom w:val="single" w:sz="6" w:space="0" w:color="auto"/>
              <w:right w:val="nil"/>
            </w:tcBorders>
          </w:tcPr>
          <w:p w:rsidR="00244070" w:rsidRPr="00AD4EA0" w:rsidRDefault="00244070" w:rsidP="001F19BF">
            <w:pPr>
              <w:jc w:val="both"/>
              <w:rPr>
                <w:rFonts w:asciiTheme="majorBidi" w:hAnsiTheme="majorBidi" w:cstheme="majorBidi"/>
                <w:lang w:bidi="ar-EG"/>
              </w:rPr>
            </w:pPr>
            <w:r w:rsidRPr="00AD4EA0">
              <w:rPr>
                <w:rFonts w:asciiTheme="majorBidi" w:hAnsiTheme="majorBidi" w:cstheme="majorBidi"/>
                <w:color w:val="000000"/>
              </w:rPr>
              <w:t>0.871</w:t>
            </w:r>
          </w:p>
        </w:tc>
        <w:tc>
          <w:tcPr>
            <w:tcW w:w="990" w:type="dxa"/>
            <w:tcBorders>
              <w:top w:val="single" w:sz="6" w:space="0" w:color="auto"/>
              <w:left w:val="nil"/>
              <w:bottom w:val="single" w:sz="6" w:space="0" w:color="auto"/>
            </w:tcBorders>
          </w:tcPr>
          <w:p w:rsidR="00244070" w:rsidRPr="00AD4EA0" w:rsidRDefault="00244070" w:rsidP="001F19BF">
            <w:pPr>
              <w:jc w:val="both"/>
              <w:rPr>
                <w:rFonts w:asciiTheme="majorBidi" w:hAnsiTheme="majorBidi" w:cstheme="majorBidi"/>
                <w:lang w:bidi="ar-EG"/>
              </w:rPr>
            </w:pPr>
            <w:r w:rsidRPr="00AD4EA0">
              <w:rPr>
                <w:rFonts w:asciiTheme="majorBidi" w:eastAsia="Times New Roman" w:hAnsiTheme="majorBidi" w:cstheme="majorBidi"/>
              </w:rPr>
              <w:t>&lt;0.001</w:t>
            </w:r>
          </w:p>
        </w:tc>
        <w:tc>
          <w:tcPr>
            <w:tcW w:w="810" w:type="dxa"/>
            <w:tcBorders>
              <w:top w:val="single" w:sz="6" w:space="0" w:color="auto"/>
              <w:bottom w:val="single" w:sz="6" w:space="0" w:color="auto"/>
              <w:right w:val="nil"/>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0.781</w:t>
            </w:r>
          </w:p>
        </w:tc>
        <w:tc>
          <w:tcPr>
            <w:tcW w:w="900" w:type="dxa"/>
            <w:tcBorders>
              <w:top w:val="single" w:sz="6" w:space="0" w:color="auto"/>
              <w:left w:val="nil"/>
              <w:bottom w:val="single" w:sz="6" w:space="0" w:color="auto"/>
            </w:tcBorders>
          </w:tcPr>
          <w:p w:rsidR="00244070" w:rsidRPr="00AD4EA0" w:rsidRDefault="00244070" w:rsidP="001F19BF">
            <w:pPr>
              <w:jc w:val="both"/>
              <w:rPr>
                <w:rFonts w:asciiTheme="majorBidi" w:eastAsia="Times New Roman" w:hAnsiTheme="majorBidi" w:cstheme="majorBidi"/>
              </w:rPr>
            </w:pPr>
            <w:r w:rsidRPr="00AD4EA0">
              <w:rPr>
                <w:rFonts w:asciiTheme="majorBidi" w:eastAsia="Times New Roman" w:hAnsiTheme="majorBidi" w:cstheme="majorBidi"/>
              </w:rPr>
              <w:t>&lt;0.001</w:t>
            </w:r>
          </w:p>
        </w:tc>
        <w:tc>
          <w:tcPr>
            <w:tcW w:w="720" w:type="dxa"/>
            <w:tcBorders>
              <w:top w:val="single" w:sz="6" w:space="0" w:color="auto"/>
              <w:bottom w:val="single" w:sz="6" w:space="0" w:color="auto"/>
              <w:right w:val="nil"/>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0.524</w:t>
            </w:r>
          </w:p>
        </w:tc>
        <w:tc>
          <w:tcPr>
            <w:tcW w:w="900" w:type="dxa"/>
            <w:tcBorders>
              <w:top w:val="single" w:sz="6" w:space="0" w:color="auto"/>
              <w:left w:val="nil"/>
              <w:bottom w:val="single" w:sz="6" w:space="0" w:color="auto"/>
            </w:tcBorders>
          </w:tcPr>
          <w:p w:rsidR="00244070" w:rsidRPr="00AD4EA0" w:rsidRDefault="00244070" w:rsidP="001F19BF">
            <w:pPr>
              <w:jc w:val="both"/>
              <w:rPr>
                <w:rFonts w:asciiTheme="majorBidi" w:eastAsia="Times New Roman" w:hAnsiTheme="majorBidi" w:cstheme="majorBidi"/>
              </w:rPr>
            </w:pPr>
            <w:r w:rsidRPr="00AD4EA0">
              <w:rPr>
                <w:rFonts w:asciiTheme="majorBidi" w:eastAsia="Times New Roman" w:hAnsiTheme="majorBidi" w:cstheme="majorBidi"/>
              </w:rPr>
              <w:t>&lt;0.001</w:t>
            </w:r>
          </w:p>
        </w:tc>
        <w:tc>
          <w:tcPr>
            <w:tcW w:w="900" w:type="dxa"/>
            <w:tcBorders>
              <w:top w:val="single" w:sz="6" w:space="0" w:color="auto"/>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.405</w:t>
            </w:r>
          </w:p>
        </w:tc>
        <w:tc>
          <w:tcPr>
            <w:tcW w:w="900" w:type="dxa"/>
            <w:tcBorders>
              <w:top w:val="single" w:sz="6" w:space="0" w:color="auto"/>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.076</w:t>
            </w:r>
          </w:p>
        </w:tc>
        <w:tc>
          <w:tcPr>
            <w:tcW w:w="990" w:type="dxa"/>
            <w:tcBorders>
              <w:top w:val="single" w:sz="6" w:space="0" w:color="auto"/>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.165</w:t>
            </w:r>
          </w:p>
        </w:tc>
        <w:tc>
          <w:tcPr>
            <w:tcW w:w="990" w:type="dxa"/>
            <w:tcBorders>
              <w:top w:val="single" w:sz="6" w:space="0" w:color="auto"/>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.488</w:t>
            </w:r>
          </w:p>
        </w:tc>
      </w:tr>
      <w:tr w:rsidR="00244070" w:rsidRPr="00AD4EA0" w:rsidTr="00244070">
        <w:trPr>
          <w:trHeight w:val="529"/>
        </w:trPr>
        <w:tc>
          <w:tcPr>
            <w:tcW w:w="2178" w:type="dxa"/>
            <w:tcBorders>
              <w:top w:val="single" w:sz="6" w:space="0" w:color="auto"/>
              <w:bottom w:val="single" w:sz="6" w:space="0" w:color="auto"/>
            </w:tcBorders>
            <w:shd w:val="clear" w:color="auto" w:fill="BFBFBF"/>
          </w:tcPr>
          <w:p w:rsidR="00244070" w:rsidRPr="00AD4EA0" w:rsidRDefault="00244070" w:rsidP="001F19BF">
            <w:pPr>
              <w:jc w:val="both"/>
              <w:rPr>
                <w:rFonts w:asciiTheme="majorBidi" w:hAnsiTheme="majorBidi" w:cstheme="majorBidi"/>
                <w:lang w:bidi="ar-EG"/>
              </w:rPr>
            </w:pPr>
            <w:r w:rsidRPr="00AD4EA0">
              <w:rPr>
                <w:rFonts w:asciiTheme="majorBidi" w:hAnsiTheme="majorBidi" w:cstheme="majorBidi"/>
                <w:lang w:bidi="ar-EG"/>
              </w:rPr>
              <w:t xml:space="preserve">tuberculin skin test </w:t>
            </w:r>
          </w:p>
          <w:p w:rsidR="00244070" w:rsidRPr="00AD4EA0" w:rsidRDefault="00244070" w:rsidP="001F19BF">
            <w:pPr>
              <w:jc w:val="both"/>
              <w:rPr>
                <w:rFonts w:asciiTheme="majorBidi" w:hAnsiTheme="majorBidi" w:cstheme="majorBidi"/>
                <w:color w:val="000000"/>
              </w:rPr>
            </w:pPr>
          </w:p>
        </w:tc>
        <w:tc>
          <w:tcPr>
            <w:tcW w:w="900" w:type="dxa"/>
            <w:tcBorders>
              <w:top w:val="single" w:sz="6" w:space="0" w:color="auto"/>
              <w:bottom w:val="single" w:sz="6" w:space="0" w:color="auto"/>
              <w:right w:val="nil"/>
            </w:tcBorders>
          </w:tcPr>
          <w:p w:rsidR="00244070" w:rsidRPr="00AD4EA0" w:rsidRDefault="00244070" w:rsidP="001F19BF">
            <w:pPr>
              <w:jc w:val="both"/>
              <w:rPr>
                <w:rFonts w:asciiTheme="majorBidi" w:hAnsiTheme="majorBidi" w:cstheme="majorBidi"/>
                <w:lang w:bidi="ar-EG"/>
              </w:rPr>
            </w:pPr>
            <w:r>
              <w:rPr>
                <w:rFonts w:asciiTheme="majorBidi" w:hAnsiTheme="majorBidi" w:cstheme="majorBidi"/>
                <w:color w:val="000000"/>
              </w:rPr>
              <w:t>-</w:t>
            </w:r>
          </w:p>
        </w:tc>
        <w:tc>
          <w:tcPr>
            <w:tcW w:w="990" w:type="dxa"/>
            <w:tcBorders>
              <w:top w:val="single" w:sz="6" w:space="0" w:color="auto"/>
              <w:left w:val="nil"/>
              <w:bottom w:val="single" w:sz="6" w:space="0" w:color="auto"/>
            </w:tcBorders>
          </w:tcPr>
          <w:p w:rsidR="00244070" w:rsidRPr="00AD4EA0" w:rsidRDefault="00244070" w:rsidP="001F19BF">
            <w:pPr>
              <w:jc w:val="both"/>
              <w:rPr>
                <w:rFonts w:asciiTheme="majorBidi" w:hAnsiTheme="majorBidi" w:cstheme="majorBidi"/>
                <w:lang w:bidi="ar-EG"/>
              </w:rPr>
            </w:pPr>
            <w:r>
              <w:rPr>
                <w:rFonts w:asciiTheme="majorBidi" w:eastAsia="Times New Roman" w:hAnsiTheme="majorBidi" w:cstheme="majorBidi"/>
              </w:rPr>
              <w:t>-</w:t>
            </w:r>
          </w:p>
        </w:tc>
        <w:tc>
          <w:tcPr>
            <w:tcW w:w="810" w:type="dxa"/>
            <w:tcBorders>
              <w:top w:val="single" w:sz="6" w:space="0" w:color="auto"/>
              <w:bottom w:val="single" w:sz="6" w:space="0" w:color="auto"/>
              <w:right w:val="nil"/>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.005</w:t>
            </w:r>
          </w:p>
        </w:tc>
        <w:tc>
          <w:tcPr>
            <w:tcW w:w="900" w:type="dxa"/>
            <w:tcBorders>
              <w:top w:val="single" w:sz="6" w:space="0" w:color="auto"/>
              <w:left w:val="nil"/>
              <w:bottom w:val="single" w:sz="6" w:space="0" w:color="auto"/>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.969</w:t>
            </w:r>
          </w:p>
        </w:tc>
        <w:tc>
          <w:tcPr>
            <w:tcW w:w="720" w:type="dxa"/>
            <w:tcBorders>
              <w:top w:val="single" w:sz="6" w:space="0" w:color="auto"/>
              <w:bottom w:val="single" w:sz="6" w:space="0" w:color="auto"/>
              <w:right w:val="nil"/>
            </w:tcBorders>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c>
          <w:tcPr>
            <w:tcW w:w="900" w:type="dxa"/>
            <w:tcBorders>
              <w:top w:val="single" w:sz="6" w:space="0" w:color="auto"/>
              <w:left w:val="nil"/>
              <w:bottom w:val="single" w:sz="6" w:space="0" w:color="auto"/>
            </w:tcBorders>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c>
          <w:tcPr>
            <w:tcW w:w="900" w:type="dxa"/>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c>
          <w:tcPr>
            <w:tcW w:w="900" w:type="dxa"/>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c>
          <w:tcPr>
            <w:tcW w:w="990" w:type="dxa"/>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c>
          <w:tcPr>
            <w:tcW w:w="990" w:type="dxa"/>
          </w:tcPr>
          <w:p w:rsidR="00244070" w:rsidRPr="00AD4EA0" w:rsidRDefault="00244070" w:rsidP="001F19BF">
            <w:pPr>
              <w:jc w:val="both"/>
              <w:rPr>
                <w:rFonts w:asciiTheme="majorBidi" w:eastAsia="Times New Roman" w:hAnsiTheme="majorBidi" w:cstheme="majorBidi"/>
              </w:rPr>
            </w:pPr>
            <w:r>
              <w:rPr>
                <w:rFonts w:asciiTheme="majorBidi" w:eastAsia="Times New Roman" w:hAnsiTheme="majorBidi" w:cstheme="majorBidi"/>
              </w:rPr>
              <w:t>-</w:t>
            </w:r>
          </w:p>
        </w:tc>
      </w:tr>
      <w:tr w:rsidR="00244070" w:rsidRPr="00AD4EA0" w:rsidTr="00244070">
        <w:trPr>
          <w:trHeight w:val="544"/>
        </w:trPr>
        <w:tc>
          <w:tcPr>
            <w:tcW w:w="2178" w:type="dxa"/>
            <w:tcBorders>
              <w:top w:val="single" w:sz="6" w:space="0" w:color="auto"/>
              <w:bottom w:val="thickThinSmallGap" w:sz="24" w:space="0" w:color="auto"/>
            </w:tcBorders>
            <w:shd w:val="clear" w:color="auto" w:fill="BFBFBF"/>
          </w:tcPr>
          <w:p w:rsidR="00244070" w:rsidRPr="003452F0" w:rsidRDefault="00244070" w:rsidP="001F19BF">
            <w:pPr>
              <w:jc w:val="both"/>
              <w:rPr>
                <w:rFonts w:asciiTheme="majorBidi" w:hAnsiTheme="majorBidi" w:cstheme="majorBidi"/>
                <w:lang w:bidi="ar-EG"/>
              </w:rPr>
            </w:pPr>
            <w:r w:rsidRPr="00AD4EA0">
              <w:rPr>
                <w:rFonts w:asciiTheme="majorBidi" w:hAnsiTheme="majorBidi" w:cstheme="majorBidi"/>
                <w:lang w:bidi="ar-EG"/>
              </w:rPr>
              <w:t xml:space="preserve">pleural LDH </w:t>
            </w:r>
          </w:p>
        </w:tc>
        <w:tc>
          <w:tcPr>
            <w:tcW w:w="900" w:type="dxa"/>
            <w:tcBorders>
              <w:top w:val="single" w:sz="6" w:space="0" w:color="auto"/>
              <w:bottom w:val="thickThinSmallGap" w:sz="24" w:space="0" w:color="auto"/>
              <w:right w:val="nil"/>
            </w:tcBorders>
          </w:tcPr>
          <w:p w:rsidR="00244070" w:rsidRPr="00AD4EA0" w:rsidRDefault="00244070" w:rsidP="001F19BF">
            <w:pPr>
              <w:jc w:val="both"/>
              <w:rPr>
                <w:rFonts w:asciiTheme="majorBidi" w:hAnsiTheme="majorBidi" w:cstheme="majorBidi"/>
                <w:lang w:bidi="ar-EG"/>
              </w:rPr>
            </w:pPr>
            <w:r w:rsidRPr="00AD4EA0">
              <w:rPr>
                <w:rFonts w:asciiTheme="majorBidi" w:hAnsiTheme="majorBidi" w:cstheme="majorBidi"/>
                <w:color w:val="000000"/>
              </w:rPr>
              <w:t>0.900</w:t>
            </w:r>
          </w:p>
        </w:tc>
        <w:tc>
          <w:tcPr>
            <w:tcW w:w="990" w:type="dxa"/>
            <w:tcBorders>
              <w:top w:val="single" w:sz="6" w:space="0" w:color="auto"/>
              <w:left w:val="nil"/>
              <w:bottom w:val="thickThinSmallGap" w:sz="24" w:space="0" w:color="auto"/>
            </w:tcBorders>
          </w:tcPr>
          <w:p w:rsidR="00244070" w:rsidRPr="00AD4EA0" w:rsidRDefault="00244070" w:rsidP="001F19BF">
            <w:pPr>
              <w:jc w:val="both"/>
              <w:rPr>
                <w:rFonts w:asciiTheme="majorBidi" w:hAnsiTheme="majorBidi" w:cstheme="majorBidi"/>
                <w:lang w:bidi="ar-EG"/>
              </w:rPr>
            </w:pPr>
            <w:r w:rsidRPr="00AD4EA0">
              <w:rPr>
                <w:rFonts w:asciiTheme="majorBidi" w:eastAsia="Times New Roman" w:hAnsiTheme="majorBidi" w:cstheme="majorBidi"/>
              </w:rPr>
              <w:t>&lt;0.001</w:t>
            </w:r>
          </w:p>
        </w:tc>
        <w:tc>
          <w:tcPr>
            <w:tcW w:w="810" w:type="dxa"/>
            <w:tcBorders>
              <w:top w:val="single" w:sz="6" w:space="0" w:color="auto"/>
              <w:bottom w:val="thickThinSmallGap" w:sz="24" w:space="0" w:color="auto"/>
              <w:right w:val="nil"/>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.709</w:t>
            </w:r>
          </w:p>
        </w:tc>
        <w:tc>
          <w:tcPr>
            <w:tcW w:w="900" w:type="dxa"/>
            <w:tcBorders>
              <w:top w:val="single" w:sz="6" w:space="0" w:color="auto"/>
              <w:left w:val="nil"/>
              <w:bottom w:val="thickThinSmallGap" w:sz="24" w:space="0" w:color="auto"/>
            </w:tcBorders>
          </w:tcPr>
          <w:p w:rsidR="00244070" w:rsidRPr="00AD4EA0" w:rsidRDefault="00244070" w:rsidP="001F19BF">
            <w:pPr>
              <w:jc w:val="both"/>
              <w:rPr>
                <w:rFonts w:asciiTheme="majorBidi" w:eastAsia="Times New Roman" w:hAnsiTheme="majorBidi" w:cstheme="majorBidi"/>
              </w:rPr>
            </w:pPr>
            <w:r w:rsidRPr="00AD4EA0">
              <w:rPr>
                <w:rFonts w:asciiTheme="majorBidi" w:eastAsia="Times New Roman" w:hAnsiTheme="majorBidi" w:cstheme="majorBidi"/>
              </w:rPr>
              <w:t>&lt;0.001</w:t>
            </w:r>
          </w:p>
        </w:tc>
        <w:tc>
          <w:tcPr>
            <w:tcW w:w="720" w:type="dxa"/>
            <w:tcBorders>
              <w:top w:val="single" w:sz="6" w:space="0" w:color="auto"/>
              <w:bottom w:val="thickThinSmallGap" w:sz="24" w:space="0" w:color="auto"/>
              <w:right w:val="nil"/>
            </w:tcBorders>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.739</w:t>
            </w:r>
          </w:p>
        </w:tc>
        <w:tc>
          <w:tcPr>
            <w:tcW w:w="900" w:type="dxa"/>
            <w:tcBorders>
              <w:top w:val="single" w:sz="6" w:space="0" w:color="auto"/>
              <w:left w:val="nil"/>
              <w:bottom w:val="thickThinSmallGap" w:sz="24" w:space="0" w:color="auto"/>
            </w:tcBorders>
          </w:tcPr>
          <w:p w:rsidR="00244070" w:rsidRPr="00AD4EA0" w:rsidRDefault="00244070" w:rsidP="001F19BF">
            <w:pPr>
              <w:jc w:val="both"/>
              <w:rPr>
                <w:rFonts w:asciiTheme="majorBidi" w:eastAsia="Times New Roman" w:hAnsiTheme="majorBidi" w:cstheme="majorBidi"/>
              </w:rPr>
            </w:pPr>
            <w:r w:rsidRPr="00AD4EA0">
              <w:rPr>
                <w:rFonts w:asciiTheme="majorBidi" w:eastAsia="Times New Roman" w:hAnsiTheme="majorBidi" w:cstheme="majorBidi"/>
              </w:rPr>
              <w:t>&lt;0.001</w:t>
            </w:r>
          </w:p>
        </w:tc>
        <w:tc>
          <w:tcPr>
            <w:tcW w:w="900" w:type="dxa"/>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.339</w:t>
            </w:r>
          </w:p>
        </w:tc>
        <w:tc>
          <w:tcPr>
            <w:tcW w:w="900" w:type="dxa"/>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.143</w:t>
            </w:r>
          </w:p>
        </w:tc>
        <w:tc>
          <w:tcPr>
            <w:tcW w:w="990" w:type="dxa"/>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.129</w:t>
            </w:r>
          </w:p>
        </w:tc>
        <w:tc>
          <w:tcPr>
            <w:tcW w:w="990" w:type="dxa"/>
          </w:tcPr>
          <w:p w:rsidR="00244070" w:rsidRPr="00AD4EA0" w:rsidRDefault="00FE7A96" w:rsidP="001F19BF">
            <w:pPr>
              <w:jc w:val="both"/>
              <w:rPr>
                <w:rFonts w:asciiTheme="majorBidi" w:eastAsia="Times New Roman" w:hAnsiTheme="majorBidi" w:cstheme="majorBidi"/>
              </w:rPr>
            </w:pPr>
            <w:r>
              <w:rPr>
                <w:rFonts w:asciiTheme="majorBidi" w:eastAsia="Times New Roman" w:hAnsiTheme="majorBidi" w:cstheme="majorBidi"/>
              </w:rPr>
              <w:t>0</w:t>
            </w:r>
            <w:r w:rsidR="00244070">
              <w:rPr>
                <w:rFonts w:asciiTheme="majorBidi" w:eastAsia="Times New Roman" w:hAnsiTheme="majorBidi" w:cstheme="majorBidi"/>
              </w:rPr>
              <w:t>.588</w:t>
            </w:r>
          </w:p>
        </w:tc>
      </w:tr>
    </w:tbl>
    <w:p w:rsidR="00BE246B" w:rsidRPr="00AD4EA0" w:rsidRDefault="00BE246B" w:rsidP="00AD4EA0">
      <w:pPr>
        <w:spacing w:after="0" w:line="240" w:lineRule="auto"/>
        <w:jc w:val="both"/>
        <w:rPr>
          <w:rFonts w:asciiTheme="majorBidi" w:hAnsiTheme="majorBidi" w:cstheme="majorBidi"/>
          <w:lang w:bidi="ar-EG"/>
        </w:rPr>
      </w:pPr>
    </w:p>
    <w:p w:rsidR="003452F0" w:rsidRDefault="003452F0" w:rsidP="00AD4EA0">
      <w:pPr>
        <w:autoSpaceDE w:val="0"/>
        <w:autoSpaceDN w:val="0"/>
        <w:adjustRightInd w:val="0"/>
        <w:spacing w:before="120" w:after="120" w:line="240" w:lineRule="auto"/>
        <w:jc w:val="both"/>
        <w:rPr>
          <w:rFonts w:asciiTheme="majorBidi" w:hAnsiTheme="majorBidi" w:cstheme="majorBidi"/>
          <w:color w:val="000000"/>
          <w:sz w:val="20"/>
          <w:szCs w:val="20"/>
        </w:rPr>
      </w:pPr>
      <w:r w:rsidRPr="003452F0">
        <w:rPr>
          <w:rFonts w:asciiTheme="majorBidi" w:hAnsiTheme="majorBidi" w:cstheme="majorBidi"/>
          <w:color w:val="000000"/>
          <w:highlight w:val="yellow"/>
          <w:vertAlign w:val="superscript"/>
        </w:rPr>
        <w:t>*</w:t>
      </w:r>
      <w:r w:rsidRPr="003452F0">
        <w:rPr>
          <w:rFonts w:asciiTheme="majorBidi" w:hAnsiTheme="majorBidi" w:cstheme="majorBidi"/>
          <w:color w:val="000000"/>
          <w:highlight w:val="yellow"/>
        </w:rPr>
        <w:t>(</w:t>
      </w:r>
      <w:proofErr w:type="gramStart"/>
      <w:r w:rsidRPr="003452F0">
        <w:rPr>
          <w:rFonts w:cs="Calibri"/>
          <w:color w:val="000000"/>
          <w:highlight w:val="yellow"/>
        </w:rPr>
        <w:t>ρ</w:t>
      </w:r>
      <w:r w:rsidRPr="003452F0">
        <w:rPr>
          <w:rFonts w:cs="Calibri" w:hint="cs"/>
          <w:color w:val="000000"/>
          <w:highlight w:val="yellow"/>
          <w:rtl/>
        </w:rPr>
        <w:t>(</w:t>
      </w:r>
      <w:r w:rsidRPr="003452F0">
        <w:rPr>
          <w:rFonts w:cs="Calibri"/>
          <w:color w:val="000000"/>
          <w:highlight w:val="yellow"/>
        </w:rPr>
        <w:t xml:space="preserve"> </w:t>
      </w:r>
      <w:r w:rsidRPr="003452F0">
        <w:rPr>
          <w:rFonts w:asciiTheme="majorBidi" w:hAnsiTheme="majorBidi" w:cstheme="majorBidi"/>
          <w:color w:val="000000"/>
          <w:sz w:val="20"/>
          <w:szCs w:val="20"/>
          <w:highlight w:val="yellow"/>
        </w:rPr>
        <w:t>Spearman</w:t>
      </w:r>
      <w:proofErr w:type="gramEnd"/>
      <w:r w:rsidRPr="003452F0">
        <w:rPr>
          <w:rFonts w:asciiTheme="majorBidi" w:hAnsiTheme="majorBidi" w:cstheme="majorBidi"/>
          <w:color w:val="000000"/>
          <w:sz w:val="20"/>
          <w:szCs w:val="20"/>
          <w:highlight w:val="yellow"/>
        </w:rPr>
        <w:t xml:space="preserve"> correlation coefficient</w:t>
      </w:r>
      <w:r w:rsidRPr="003452F0">
        <w:rPr>
          <w:rFonts w:asciiTheme="majorBidi" w:hAnsiTheme="majorBidi" w:cstheme="majorBidi"/>
          <w:color w:val="000000"/>
          <w:sz w:val="20"/>
          <w:szCs w:val="20"/>
        </w:rPr>
        <w:t xml:space="preserve"> </w:t>
      </w:r>
    </w:p>
    <w:p w:rsidR="003452F0" w:rsidRDefault="003452F0" w:rsidP="00AD4EA0">
      <w:pPr>
        <w:autoSpaceDE w:val="0"/>
        <w:autoSpaceDN w:val="0"/>
        <w:adjustRightInd w:val="0"/>
        <w:spacing w:before="120" w:after="120" w:line="240" w:lineRule="auto"/>
        <w:jc w:val="both"/>
        <w:rPr>
          <w:rFonts w:asciiTheme="majorBidi" w:hAnsiTheme="majorBidi" w:cstheme="majorBidi"/>
          <w:color w:val="000000"/>
          <w:sz w:val="20"/>
          <w:szCs w:val="20"/>
        </w:rPr>
      </w:pPr>
    </w:p>
    <w:p w:rsidR="00BE246B" w:rsidRPr="00AD4EA0" w:rsidRDefault="009F2BFE" w:rsidP="00AD4EA0">
      <w:pPr>
        <w:autoSpaceDE w:val="0"/>
        <w:autoSpaceDN w:val="0"/>
        <w:adjustRightInd w:val="0"/>
        <w:spacing w:before="120" w:after="120" w:line="240" w:lineRule="auto"/>
        <w:jc w:val="both"/>
        <w:rPr>
          <w:rFonts w:asciiTheme="majorBidi" w:hAnsiTheme="majorBidi" w:cstheme="majorBidi"/>
          <w:rtl/>
          <w:lang w:bidi="ar-EG"/>
        </w:rPr>
      </w:pPr>
      <w:r>
        <w:rPr>
          <w:rFonts w:asciiTheme="majorBidi" w:hAnsiTheme="majorBidi" w:cstheme="majorBidi"/>
          <w:lang w:bidi="ar-EG"/>
        </w:rPr>
        <w:t>Table (6</w:t>
      </w:r>
      <w:r w:rsidR="00BE246B" w:rsidRPr="00AD4EA0">
        <w:rPr>
          <w:rFonts w:asciiTheme="majorBidi" w:hAnsiTheme="majorBidi" w:cstheme="majorBidi"/>
          <w:lang w:bidi="ar-EG"/>
        </w:rPr>
        <w:t>):</w:t>
      </w:r>
      <w:r w:rsidR="00BE246B" w:rsidRPr="00AD4EA0">
        <w:rPr>
          <w:rFonts w:asciiTheme="majorBidi" w:hAnsiTheme="majorBidi" w:cstheme="majorBidi"/>
        </w:rPr>
        <w:t xml:space="preserve"> </w:t>
      </w:r>
      <w:r w:rsidR="00BE246B" w:rsidRPr="00AD4EA0">
        <w:rPr>
          <w:rFonts w:asciiTheme="majorBidi" w:hAnsiTheme="majorBidi" w:cstheme="majorBidi"/>
          <w:lang w:bidi="ar-EG"/>
        </w:rPr>
        <w:t>Diagnostic performance of IL36</w:t>
      </w:r>
      <w:r w:rsidR="00BE246B" w:rsidRPr="00AD4EA0">
        <w:rPr>
          <w:rFonts w:asciiTheme="majorBidi" w:hAnsiTheme="majorBidi" w:cstheme="majorBidi"/>
        </w:rPr>
        <w:t xml:space="preserve"> γ</w:t>
      </w:r>
      <w:r w:rsidR="00BE246B" w:rsidRPr="00AD4EA0">
        <w:rPr>
          <w:rFonts w:asciiTheme="majorBidi" w:hAnsiTheme="majorBidi" w:cstheme="majorBidi"/>
          <w:rtl/>
          <w:lang w:bidi="ar-EG"/>
        </w:rPr>
        <w:t xml:space="preserve"> </w:t>
      </w:r>
      <w:r w:rsidR="00BE246B" w:rsidRPr="00AD4EA0">
        <w:rPr>
          <w:rFonts w:asciiTheme="majorBidi" w:hAnsiTheme="majorBidi" w:cstheme="majorBidi"/>
          <w:lang w:bidi="ar-EG"/>
        </w:rPr>
        <w:t>in diagnosing tuberculous effusion based on ROC curve analysis.</w:t>
      </w:r>
    </w:p>
    <w:tbl>
      <w:tblPr>
        <w:tblStyle w:val="TableGrid"/>
        <w:tblW w:w="9812" w:type="dxa"/>
        <w:tblInd w:w="-5" w:type="dxa"/>
        <w:tblLook w:val="04A0" w:firstRow="1" w:lastRow="0" w:firstColumn="1" w:lastColumn="0" w:noHBand="0" w:noVBand="1"/>
      </w:tblPr>
      <w:tblGrid>
        <w:gridCol w:w="1885"/>
        <w:gridCol w:w="1106"/>
        <w:gridCol w:w="953"/>
        <w:gridCol w:w="1576"/>
        <w:gridCol w:w="1417"/>
        <w:gridCol w:w="1412"/>
        <w:gridCol w:w="1463"/>
      </w:tblGrid>
      <w:tr w:rsidR="008B77BD" w:rsidRPr="00AD4EA0" w:rsidTr="001F19BF">
        <w:trPr>
          <w:trHeight w:val="817"/>
        </w:trPr>
        <w:tc>
          <w:tcPr>
            <w:tcW w:w="1885" w:type="dxa"/>
            <w:tcBorders>
              <w:bottom w:val="single" w:sz="4" w:space="0" w:color="auto"/>
            </w:tcBorders>
            <w:shd w:val="clear" w:color="auto" w:fill="BFBFBF"/>
          </w:tcPr>
          <w:p w:rsidR="008B77BD" w:rsidRPr="00AD4EA0" w:rsidRDefault="008B77BD" w:rsidP="001F19BF">
            <w:pPr>
              <w:tabs>
                <w:tab w:val="left" w:pos="1893"/>
              </w:tabs>
              <w:jc w:val="both"/>
              <w:rPr>
                <w:rFonts w:asciiTheme="majorBidi" w:eastAsia="Times New Roman" w:hAnsiTheme="majorBidi" w:cstheme="majorBidi"/>
              </w:rPr>
            </w:pPr>
          </w:p>
        </w:tc>
        <w:tc>
          <w:tcPr>
            <w:tcW w:w="1106"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AUC</w:t>
            </w:r>
          </w:p>
        </w:tc>
        <w:tc>
          <w:tcPr>
            <w:tcW w:w="953" w:type="dxa"/>
            <w:shd w:val="clear" w:color="auto" w:fill="BFBFBF"/>
          </w:tcPr>
          <w:p w:rsidR="008B77BD" w:rsidRPr="00AD4EA0" w:rsidRDefault="008B77BD" w:rsidP="001F19BF">
            <w:pPr>
              <w:tabs>
                <w:tab w:val="left" w:pos="1893"/>
              </w:tabs>
              <w:jc w:val="both"/>
              <w:rPr>
                <w:rFonts w:asciiTheme="majorBidi" w:hAnsiTheme="majorBidi" w:cstheme="majorBidi"/>
                <w:color w:val="000000"/>
              </w:rPr>
            </w:pPr>
            <w:r w:rsidRPr="00AD4EA0">
              <w:rPr>
                <w:rFonts w:asciiTheme="majorBidi" w:hAnsiTheme="majorBidi" w:cstheme="majorBidi"/>
                <w:color w:val="000000"/>
              </w:rPr>
              <w:t>P</w:t>
            </w:r>
          </w:p>
        </w:tc>
        <w:tc>
          <w:tcPr>
            <w:tcW w:w="1576"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Cut</w:t>
            </w:r>
            <w:r w:rsidRPr="00AD4EA0">
              <w:rPr>
                <w:rFonts w:asciiTheme="majorBidi" w:eastAsia="Times New Roman" w:hAnsiTheme="majorBidi" w:cstheme="majorBidi"/>
                <w:rtl/>
              </w:rPr>
              <w:t xml:space="preserve"> </w:t>
            </w:r>
            <w:r w:rsidRPr="00AD4EA0">
              <w:rPr>
                <w:rFonts w:asciiTheme="majorBidi" w:eastAsia="Times New Roman" w:hAnsiTheme="majorBidi" w:cstheme="majorBidi"/>
              </w:rPr>
              <w:t>off value</w:t>
            </w:r>
            <w:r w:rsidRPr="00AD4EA0">
              <w:rPr>
                <w:rFonts w:asciiTheme="majorBidi" w:eastAsia="Times New Roman" w:hAnsiTheme="majorBidi" w:cstheme="majorBidi"/>
                <w:rtl/>
              </w:rPr>
              <w:t>)</w:t>
            </w:r>
            <w:r w:rsidRPr="00AD4EA0">
              <w:rPr>
                <w:rFonts w:asciiTheme="majorBidi" w:hAnsiTheme="majorBidi" w:cstheme="majorBidi"/>
                <w:color w:val="000000"/>
                <w:rtl/>
              </w:rPr>
              <w:t xml:space="preserve"> </w:t>
            </w:r>
            <w:proofErr w:type="spellStart"/>
            <w:r w:rsidRPr="00AD4EA0">
              <w:rPr>
                <w:rFonts w:asciiTheme="majorBidi" w:hAnsiTheme="majorBidi" w:cstheme="majorBidi"/>
                <w:color w:val="000000"/>
              </w:rPr>
              <w:t>pg</w:t>
            </w:r>
            <w:proofErr w:type="spellEnd"/>
            <w:r w:rsidRPr="00AD4EA0">
              <w:rPr>
                <w:rFonts w:asciiTheme="majorBidi" w:hAnsiTheme="majorBidi" w:cstheme="majorBidi"/>
                <w:color w:val="000000"/>
              </w:rPr>
              <w:t>/ml)</w:t>
            </w:r>
          </w:p>
        </w:tc>
        <w:tc>
          <w:tcPr>
            <w:tcW w:w="1417"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sensitivity</w:t>
            </w:r>
          </w:p>
        </w:tc>
        <w:tc>
          <w:tcPr>
            <w:tcW w:w="1412"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specificity</w:t>
            </w:r>
          </w:p>
        </w:tc>
        <w:tc>
          <w:tcPr>
            <w:tcW w:w="1463"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95% confidence interval</w:t>
            </w:r>
          </w:p>
        </w:tc>
      </w:tr>
      <w:tr w:rsidR="008B77BD" w:rsidRPr="00AD4EA0" w:rsidTr="001F19BF">
        <w:trPr>
          <w:trHeight w:val="267"/>
        </w:trPr>
        <w:tc>
          <w:tcPr>
            <w:tcW w:w="1885"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TPE vs MPE</w:t>
            </w:r>
          </w:p>
        </w:tc>
        <w:tc>
          <w:tcPr>
            <w:tcW w:w="110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w:t>
            </w:r>
          </w:p>
        </w:tc>
        <w:tc>
          <w:tcPr>
            <w:tcW w:w="95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tl/>
              </w:rPr>
              <w:t>0</w:t>
            </w:r>
            <w:r w:rsidRPr="00AD4EA0">
              <w:rPr>
                <w:rFonts w:asciiTheme="majorBidi" w:eastAsia="Times New Roman" w:hAnsiTheme="majorBidi" w:cstheme="majorBidi"/>
              </w:rPr>
              <w:t>.000</w:t>
            </w:r>
            <w:r w:rsidRPr="00AD4EA0">
              <w:rPr>
                <w:rFonts w:asciiTheme="majorBidi" w:eastAsia="Times New Roman" w:hAnsiTheme="majorBidi" w:cstheme="majorBidi"/>
                <w:rtl/>
              </w:rPr>
              <w:t>1</w:t>
            </w:r>
          </w:p>
        </w:tc>
        <w:tc>
          <w:tcPr>
            <w:tcW w:w="157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≥192.06</w:t>
            </w:r>
          </w:p>
        </w:tc>
        <w:tc>
          <w:tcPr>
            <w:tcW w:w="1417"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100%</w:t>
            </w:r>
          </w:p>
        </w:tc>
        <w:tc>
          <w:tcPr>
            <w:tcW w:w="1412"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95%</w:t>
            </w:r>
          </w:p>
        </w:tc>
        <w:tc>
          <w:tcPr>
            <w:tcW w:w="146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1.0 -1.0</w:t>
            </w:r>
          </w:p>
        </w:tc>
      </w:tr>
      <w:tr w:rsidR="008B77BD" w:rsidRPr="00AD4EA0" w:rsidTr="001F19BF">
        <w:trPr>
          <w:trHeight w:val="817"/>
        </w:trPr>
        <w:tc>
          <w:tcPr>
            <w:tcW w:w="1885"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lastRenderedPageBreak/>
              <w:t>TPE vs Transudate effusion</w:t>
            </w:r>
          </w:p>
        </w:tc>
        <w:tc>
          <w:tcPr>
            <w:tcW w:w="110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w:t>
            </w:r>
          </w:p>
        </w:tc>
        <w:tc>
          <w:tcPr>
            <w:tcW w:w="95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tl/>
              </w:rPr>
              <w:t>0</w:t>
            </w:r>
            <w:r w:rsidRPr="00AD4EA0">
              <w:rPr>
                <w:rFonts w:asciiTheme="majorBidi" w:eastAsia="Times New Roman" w:hAnsiTheme="majorBidi" w:cstheme="majorBidi"/>
              </w:rPr>
              <w:t>.000</w:t>
            </w:r>
            <w:r w:rsidRPr="00AD4EA0">
              <w:rPr>
                <w:rFonts w:asciiTheme="majorBidi" w:eastAsia="Times New Roman" w:hAnsiTheme="majorBidi" w:cstheme="majorBidi"/>
                <w:rtl/>
              </w:rPr>
              <w:t>1</w:t>
            </w:r>
          </w:p>
        </w:tc>
        <w:tc>
          <w:tcPr>
            <w:tcW w:w="157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≥71.50</w:t>
            </w:r>
          </w:p>
        </w:tc>
        <w:tc>
          <w:tcPr>
            <w:tcW w:w="1417"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100%</w:t>
            </w:r>
          </w:p>
        </w:tc>
        <w:tc>
          <w:tcPr>
            <w:tcW w:w="1412"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90%</w:t>
            </w:r>
          </w:p>
        </w:tc>
        <w:tc>
          <w:tcPr>
            <w:tcW w:w="146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1.0 -1.0</w:t>
            </w:r>
          </w:p>
        </w:tc>
      </w:tr>
      <w:tr w:rsidR="008B77BD" w:rsidRPr="00AD4EA0" w:rsidTr="001F19BF">
        <w:trPr>
          <w:trHeight w:val="488"/>
        </w:trPr>
        <w:tc>
          <w:tcPr>
            <w:tcW w:w="1885"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TPE vs UPPE</w:t>
            </w:r>
          </w:p>
        </w:tc>
        <w:tc>
          <w:tcPr>
            <w:tcW w:w="110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w:t>
            </w:r>
          </w:p>
        </w:tc>
        <w:tc>
          <w:tcPr>
            <w:tcW w:w="95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tl/>
              </w:rPr>
              <w:t>0</w:t>
            </w:r>
            <w:r w:rsidRPr="00AD4EA0">
              <w:rPr>
                <w:rFonts w:asciiTheme="majorBidi" w:eastAsia="Times New Roman" w:hAnsiTheme="majorBidi" w:cstheme="majorBidi"/>
              </w:rPr>
              <w:t>.000</w:t>
            </w:r>
            <w:r w:rsidRPr="00AD4EA0">
              <w:rPr>
                <w:rFonts w:asciiTheme="majorBidi" w:eastAsia="Times New Roman" w:hAnsiTheme="majorBidi" w:cstheme="majorBidi"/>
                <w:rtl/>
              </w:rPr>
              <w:t>1</w:t>
            </w:r>
          </w:p>
        </w:tc>
        <w:tc>
          <w:tcPr>
            <w:tcW w:w="157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≥391.09</w:t>
            </w:r>
          </w:p>
        </w:tc>
        <w:tc>
          <w:tcPr>
            <w:tcW w:w="1417"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100%</w:t>
            </w:r>
          </w:p>
        </w:tc>
        <w:tc>
          <w:tcPr>
            <w:tcW w:w="1412"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95%</w:t>
            </w:r>
          </w:p>
        </w:tc>
        <w:tc>
          <w:tcPr>
            <w:tcW w:w="146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1.0 -1.0</w:t>
            </w:r>
          </w:p>
        </w:tc>
      </w:tr>
      <w:tr w:rsidR="008B77BD" w:rsidRPr="00AD4EA0" w:rsidTr="001F19BF">
        <w:trPr>
          <w:trHeight w:val="510"/>
        </w:trPr>
        <w:tc>
          <w:tcPr>
            <w:tcW w:w="1885"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TPE vs Non TPE</w:t>
            </w:r>
          </w:p>
        </w:tc>
        <w:tc>
          <w:tcPr>
            <w:tcW w:w="110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0.750</w:t>
            </w:r>
          </w:p>
        </w:tc>
        <w:tc>
          <w:tcPr>
            <w:tcW w:w="95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tl/>
              </w:rPr>
              <w:t>0</w:t>
            </w:r>
            <w:r w:rsidRPr="00AD4EA0">
              <w:rPr>
                <w:rFonts w:asciiTheme="majorBidi" w:eastAsia="Times New Roman" w:hAnsiTheme="majorBidi" w:cstheme="majorBidi"/>
              </w:rPr>
              <w:t>.001</w:t>
            </w:r>
          </w:p>
        </w:tc>
        <w:tc>
          <w:tcPr>
            <w:tcW w:w="1576" w:type="dxa"/>
          </w:tcPr>
          <w:p w:rsidR="008B77BD" w:rsidRPr="00AD4EA0" w:rsidRDefault="008B77BD" w:rsidP="001F19BF">
            <w:pPr>
              <w:tabs>
                <w:tab w:val="left" w:pos="1893"/>
              </w:tabs>
              <w:jc w:val="both"/>
              <w:rPr>
                <w:rFonts w:asciiTheme="majorBidi" w:eastAsia="Times New Roman" w:hAnsiTheme="majorBidi" w:cstheme="majorBidi"/>
                <w:rtl/>
                <w:lang w:bidi="ar-EG"/>
              </w:rPr>
            </w:pPr>
            <w:r w:rsidRPr="00AD4EA0">
              <w:rPr>
                <w:rFonts w:asciiTheme="majorBidi" w:eastAsia="Times New Roman" w:hAnsiTheme="majorBidi" w:cstheme="majorBidi"/>
              </w:rPr>
              <w:t>≥457.58</w:t>
            </w:r>
          </w:p>
        </w:tc>
        <w:tc>
          <w:tcPr>
            <w:tcW w:w="1417"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100%</w:t>
            </w:r>
          </w:p>
        </w:tc>
        <w:tc>
          <w:tcPr>
            <w:tcW w:w="1412"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75%</w:t>
            </w:r>
          </w:p>
        </w:tc>
        <w:tc>
          <w:tcPr>
            <w:tcW w:w="146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0.655- 0.845</w:t>
            </w:r>
          </w:p>
        </w:tc>
      </w:tr>
      <w:tr w:rsidR="008B77BD" w:rsidRPr="00AD4EA0" w:rsidTr="001F19BF">
        <w:trPr>
          <w:trHeight w:val="510"/>
        </w:trPr>
        <w:tc>
          <w:tcPr>
            <w:tcW w:w="1885" w:type="dxa"/>
            <w:shd w:val="clear" w:color="auto" w:fill="BFBFBF"/>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IPE vs NIPE</w:t>
            </w:r>
          </w:p>
        </w:tc>
        <w:tc>
          <w:tcPr>
            <w:tcW w:w="110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0.999</w:t>
            </w:r>
          </w:p>
        </w:tc>
        <w:tc>
          <w:tcPr>
            <w:tcW w:w="953" w:type="dxa"/>
          </w:tcPr>
          <w:p w:rsidR="008B77BD" w:rsidRPr="00AD4EA0" w:rsidRDefault="00D015BE" w:rsidP="001F19BF">
            <w:pPr>
              <w:tabs>
                <w:tab w:val="left" w:pos="1893"/>
              </w:tabs>
              <w:jc w:val="both"/>
              <w:rPr>
                <w:rFonts w:asciiTheme="majorBidi" w:eastAsia="Times New Roman" w:hAnsiTheme="majorBidi" w:cstheme="majorBidi"/>
                <w:rtl/>
                <w:lang w:bidi="ar-EG"/>
              </w:rPr>
            </w:pPr>
            <w:r>
              <w:rPr>
                <w:rFonts w:asciiTheme="majorBidi" w:eastAsia="Times New Roman" w:hAnsiTheme="majorBidi" w:cstheme="majorBidi"/>
              </w:rPr>
              <w:t>0</w:t>
            </w:r>
            <w:r w:rsidR="008B77BD" w:rsidRPr="00AD4EA0">
              <w:rPr>
                <w:rFonts w:asciiTheme="majorBidi" w:eastAsia="Times New Roman" w:hAnsiTheme="majorBidi" w:cstheme="majorBidi"/>
              </w:rPr>
              <w:t>.000</w:t>
            </w:r>
            <w:r>
              <w:rPr>
                <w:rFonts w:asciiTheme="majorBidi" w:eastAsia="Times New Roman" w:hAnsiTheme="majorBidi" w:cstheme="majorBidi"/>
              </w:rPr>
              <w:t>1</w:t>
            </w:r>
          </w:p>
        </w:tc>
        <w:tc>
          <w:tcPr>
            <w:tcW w:w="1576"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 xml:space="preserve">≥186.95 </w:t>
            </w:r>
            <w:proofErr w:type="spellStart"/>
            <w:r w:rsidRPr="00AD4EA0">
              <w:rPr>
                <w:rFonts w:asciiTheme="majorBidi" w:eastAsia="Times New Roman" w:hAnsiTheme="majorBidi" w:cstheme="majorBidi"/>
              </w:rPr>
              <w:t>pg</w:t>
            </w:r>
            <w:proofErr w:type="spellEnd"/>
            <w:r w:rsidRPr="00AD4EA0">
              <w:rPr>
                <w:rFonts w:asciiTheme="majorBidi" w:eastAsia="Times New Roman" w:hAnsiTheme="majorBidi" w:cstheme="majorBidi"/>
              </w:rPr>
              <w:t>/ml</w:t>
            </w:r>
          </w:p>
        </w:tc>
        <w:tc>
          <w:tcPr>
            <w:tcW w:w="1417"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100%</w:t>
            </w:r>
          </w:p>
        </w:tc>
        <w:tc>
          <w:tcPr>
            <w:tcW w:w="1412"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98%</w:t>
            </w:r>
          </w:p>
        </w:tc>
        <w:tc>
          <w:tcPr>
            <w:tcW w:w="1463" w:type="dxa"/>
          </w:tcPr>
          <w:p w:rsidR="008B77BD" w:rsidRPr="00AD4EA0" w:rsidRDefault="008B77BD" w:rsidP="001F19BF">
            <w:pPr>
              <w:tabs>
                <w:tab w:val="left" w:pos="1893"/>
              </w:tabs>
              <w:jc w:val="both"/>
              <w:rPr>
                <w:rFonts w:asciiTheme="majorBidi" w:eastAsia="Times New Roman" w:hAnsiTheme="majorBidi" w:cstheme="majorBidi"/>
              </w:rPr>
            </w:pPr>
            <w:r w:rsidRPr="00AD4EA0">
              <w:rPr>
                <w:rFonts w:asciiTheme="majorBidi" w:eastAsia="Times New Roman" w:hAnsiTheme="majorBidi" w:cstheme="majorBidi"/>
              </w:rPr>
              <w:t>0.997-1.0</w:t>
            </w:r>
          </w:p>
        </w:tc>
      </w:tr>
    </w:tbl>
    <w:p w:rsidR="004C2215" w:rsidRDefault="004C2215" w:rsidP="00AD4EA0">
      <w:pPr>
        <w:tabs>
          <w:tab w:val="left" w:pos="7335"/>
          <w:tab w:val="left" w:pos="7406"/>
        </w:tabs>
        <w:spacing w:before="120" w:after="120" w:line="240" w:lineRule="auto"/>
        <w:ind w:firstLine="720"/>
        <w:jc w:val="both"/>
        <w:rPr>
          <w:rFonts w:asciiTheme="majorBidi" w:hAnsiTheme="majorBidi" w:cstheme="majorBidi"/>
          <w:lang w:bidi="ar-EG"/>
        </w:rPr>
      </w:pPr>
    </w:p>
    <w:p w:rsidR="000D642D" w:rsidRPr="00AD4EA0" w:rsidRDefault="00BE246B" w:rsidP="00AD4EA0">
      <w:pPr>
        <w:tabs>
          <w:tab w:val="left" w:pos="7335"/>
          <w:tab w:val="left" w:pos="7406"/>
        </w:tabs>
        <w:spacing w:before="120" w:after="120" w:line="240" w:lineRule="auto"/>
        <w:ind w:firstLine="720"/>
        <w:jc w:val="both"/>
        <w:rPr>
          <w:rFonts w:asciiTheme="majorBidi" w:hAnsiTheme="majorBidi" w:cstheme="majorBidi"/>
          <w:lang w:bidi="ar-EG"/>
        </w:rPr>
      </w:pPr>
      <w:r w:rsidRPr="00AD4EA0">
        <w:rPr>
          <w:rFonts w:asciiTheme="majorBidi" w:hAnsiTheme="majorBidi" w:cstheme="majorBidi"/>
          <w:lang w:bidi="ar-EG"/>
        </w:rPr>
        <w:t>TPE:</w:t>
      </w:r>
      <w:r w:rsidRPr="00AD4EA0">
        <w:rPr>
          <w:rFonts w:asciiTheme="majorBidi" w:hAnsiTheme="majorBidi" w:cstheme="majorBidi"/>
          <w:rtl/>
          <w:lang w:bidi="ar-EG"/>
        </w:rPr>
        <w:t xml:space="preserve"> </w:t>
      </w:r>
      <w:r w:rsidRPr="00AD4EA0">
        <w:rPr>
          <w:rFonts w:asciiTheme="majorBidi" w:hAnsiTheme="majorBidi" w:cstheme="majorBidi"/>
          <w:lang w:bidi="ar-EG"/>
        </w:rPr>
        <w:t>Tuberculous pleural effusion*MPE:</w:t>
      </w:r>
      <w:r w:rsidRPr="00AD4EA0">
        <w:rPr>
          <w:rFonts w:asciiTheme="majorBidi" w:hAnsiTheme="majorBidi" w:cstheme="majorBidi"/>
          <w:rtl/>
          <w:lang w:bidi="ar-EG"/>
        </w:rPr>
        <w:t xml:space="preserve"> </w:t>
      </w:r>
      <w:r w:rsidRPr="00AD4EA0">
        <w:rPr>
          <w:rFonts w:asciiTheme="majorBidi" w:hAnsiTheme="majorBidi" w:cstheme="majorBidi"/>
          <w:lang w:bidi="ar-EG"/>
        </w:rPr>
        <w:t>malignant pleural effusion*UPPE:</w:t>
      </w:r>
      <w:r w:rsidRPr="00AD4EA0">
        <w:rPr>
          <w:rFonts w:asciiTheme="majorBidi" w:hAnsiTheme="majorBidi" w:cstheme="majorBidi"/>
          <w:rtl/>
          <w:lang w:bidi="ar-EG"/>
        </w:rPr>
        <w:t xml:space="preserve"> </w:t>
      </w:r>
      <w:r w:rsidRPr="00AD4EA0">
        <w:rPr>
          <w:rFonts w:asciiTheme="majorBidi" w:hAnsiTheme="majorBidi" w:cstheme="majorBidi"/>
          <w:lang w:bidi="ar-EG"/>
        </w:rPr>
        <w:t>uncomplicated pleural effusion</w:t>
      </w:r>
    </w:p>
    <w:p w:rsidR="004C2215" w:rsidRDefault="00BE246B" w:rsidP="004C2215">
      <w:pPr>
        <w:tabs>
          <w:tab w:val="left" w:pos="7335"/>
          <w:tab w:val="left" w:pos="7406"/>
        </w:tabs>
        <w:spacing w:before="120" w:after="120" w:line="240" w:lineRule="auto"/>
        <w:ind w:firstLine="720"/>
        <w:jc w:val="both"/>
        <w:rPr>
          <w:rFonts w:asciiTheme="majorBidi" w:eastAsia="Times New Roman" w:hAnsiTheme="majorBidi" w:cstheme="majorBidi"/>
        </w:rPr>
      </w:pPr>
      <w:r w:rsidRPr="00AD4EA0">
        <w:rPr>
          <w:rFonts w:asciiTheme="majorBidi" w:hAnsiTheme="majorBidi" w:cstheme="majorBidi"/>
          <w:lang w:bidi="ar-EG"/>
        </w:rPr>
        <w:t>*</w:t>
      </w:r>
      <w:r w:rsidRPr="00AD4EA0">
        <w:rPr>
          <w:rFonts w:asciiTheme="majorBidi" w:hAnsiTheme="majorBidi" w:cstheme="majorBidi"/>
          <w:rtl/>
          <w:lang w:bidi="ar-EG"/>
        </w:rPr>
        <w:t xml:space="preserve"> </w:t>
      </w:r>
      <w:r w:rsidRPr="00AD4EA0">
        <w:rPr>
          <w:rFonts w:asciiTheme="majorBidi" w:hAnsiTheme="majorBidi" w:cstheme="majorBidi"/>
          <w:lang w:bidi="ar-EG"/>
        </w:rPr>
        <w:t>CPPE:</w:t>
      </w:r>
      <w:r w:rsidRPr="00AD4EA0">
        <w:rPr>
          <w:rFonts w:asciiTheme="majorBidi" w:hAnsiTheme="majorBidi" w:cstheme="majorBidi"/>
          <w:rtl/>
          <w:lang w:bidi="ar-EG"/>
        </w:rPr>
        <w:t xml:space="preserve"> </w:t>
      </w:r>
      <w:r w:rsidRPr="00AD4EA0">
        <w:rPr>
          <w:rFonts w:asciiTheme="majorBidi" w:hAnsiTheme="majorBidi" w:cstheme="majorBidi"/>
          <w:lang w:bidi="ar-EG"/>
        </w:rPr>
        <w:t>complicated pleural effusion. *IL: Interleukin</w:t>
      </w:r>
      <w:r w:rsidR="000D642D" w:rsidRPr="00AD4EA0">
        <w:rPr>
          <w:rFonts w:asciiTheme="majorBidi" w:hAnsiTheme="majorBidi" w:cstheme="majorBidi"/>
          <w:lang w:bidi="ar-EG"/>
        </w:rPr>
        <w:t xml:space="preserve"> *</w:t>
      </w:r>
      <w:r w:rsidR="000D642D" w:rsidRPr="00AD4EA0">
        <w:rPr>
          <w:rFonts w:asciiTheme="majorBidi" w:eastAsia="Times New Roman" w:hAnsiTheme="majorBidi" w:cstheme="majorBidi"/>
        </w:rPr>
        <w:t xml:space="preserve">IPE: infectious pleural effusion </w:t>
      </w:r>
      <w:r w:rsidR="000D642D" w:rsidRPr="00AD4EA0">
        <w:rPr>
          <w:rFonts w:asciiTheme="majorBidi" w:hAnsiTheme="majorBidi" w:cstheme="majorBidi"/>
          <w:lang w:bidi="ar-EG"/>
        </w:rPr>
        <w:t>*</w:t>
      </w:r>
      <w:r w:rsidR="000D642D" w:rsidRPr="00AD4EA0">
        <w:rPr>
          <w:rFonts w:asciiTheme="majorBidi" w:eastAsia="Times New Roman" w:hAnsiTheme="majorBidi" w:cstheme="majorBidi"/>
        </w:rPr>
        <w:t xml:space="preserve"> NIPE: noninfectious pleural e</w:t>
      </w:r>
    </w:p>
    <w:p w:rsidR="00B352FD" w:rsidRPr="000F4792" w:rsidRDefault="000D642D" w:rsidP="004C2215">
      <w:pPr>
        <w:tabs>
          <w:tab w:val="left" w:pos="7335"/>
          <w:tab w:val="left" w:pos="7406"/>
        </w:tabs>
        <w:spacing w:before="120" w:after="120" w:line="240" w:lineRule="auto"/>
        <w:ind w:firstLine="720"/>
        <w:jc w:val="both"/>
        <w:rPr>
          <w:rFonts w:asciiTheme="majorBidi" w:eastAsia="Times New Roman" w:hAnsiTheme="majorBidi" w:cstheme="majorBidi"/>
        </w:rPr>
      </w:pPr>
      <w:r w:rsidRPr="00AD4EA0">
        <w:rPr>
          <w:rFonts w:asciiTheme="majorBidi" w:eastAsia="Times New Roman" w:hAnsiTheme="majorBidi" w:cstheme="majorBidi"/>
        </w:rPr>
        <w:t>fusion</w:t>
      </w:r>
    </w:p>
    <w:sectPr w:rsidR="00B352FD" w:rsidRPr="000F4792" w:rsidSect="00386BD3">
      <w:type w:val="continuous"/>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HelveticaLTStd-Bold">
    <w:panose1 w:val="00000000000000000000"/>
    <w:charset w:val="00"/>
    <w:family w:val="swiss"/>
    <w:notTrueType/>
    <w:pitch w:val="default"/>
    <w:sig w:usb0="00000003" w:usb1="00000000" w:usb2="00000000" w:usb3="00000000" w:csb0="00000001" w:csb1="00000000"/>
  </w:font>
  <w:font w:name="STIX-Regular">
    <w:altName w:val="Yu Gothic UI"/>
    <w:charset w:val="80"/>
    <w:family w:val="roman"/>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542F478"/>
    <w:lvl w:ilvl="0" w:tplc="D83E50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C8EBC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1A3A6C80"/>
    <w:lvl w:ilvl="0" w:tplc="1408D3A6">
      <w:start w:val="4"/>
      <w:numFmt w:val="bullet"/>
      <w:lvlText w:val="•"/>
      <w:lvlJc w:val="left"/>
      <w:pPr>
        <w:ind w:left="757" w:hanging="360"/>
      </w:pPr>
      <w:rPr>
        <w:rFonts w:ascii="Times New Roman" w:eastAsia="Calibr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00000004"/>
    <w:multiLevelType w:val="hybridMultilevel"/>
    <w:tmpl w:val="C4DEF0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A450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1C30C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688AFE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00000008"/>
    <w:multiLevelType w:val="hybridMultilevel"/>
    <w:tmpl w:val="2F32F1A8"/>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3D891A0"/>
    <w:lvl w:ilvl="0" w:tplc="0409001B">
      <w:start w:val="1"/>
      <w:numFmt w:val="lowerRoman"/>
      <w:lvlText w:val="%1."/>
      <w:lvlJc w:val="righ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9" w15:restartNumberingAfterBreak="0">
    <w:nsid w:val="0000000A"/>
    <w:multiLevelType w:val="hybridMultilevel"/>
    <w:tmpl w:val="4580CCEC"/>
    <w:lvl w:ilvl="0" w:tplc="04090005">
      <w:start w:val="1"/>
      <w:numFmt w:val="bullet"/>
      <w:lvlText w:val=""/>
      <w:lvlJc w:val="left"/>
      <w:pPr>
        <w:ind w:left="1853" w:hanging="360"/>
      </w:pPr>
      <w:rPr>
        <w:rFonts w:ascii="Wingdings" w:hAnsi="Wingding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0" w15:restartNumberingAfterBreak="0">
    <w:nsid w:val="0000000B"/>
    <w:multiLevelType w:val="hybridMultilevel"/>
    <w:tmpl w:val="9F481A8E"/>
    <w:lvl w:ilvl="0" w:tplc="04090005">
      <w:start w:val="1"/>
      <w:numFmt w:val="bullet"/>
      <w:lvlText w:val=""/>
      <w:lvlJc w:val="left"/>
      <w:pPr>
        <w:ind w:left="1080" w:hanging="360"/>
      </w:pPr>
      <w:rPr>
        <w:rFonts w:ascii="Wingdings" w:hAnsi="Wingdings" w:hint="default"/>
      </w:rPr>
    </w:lvl>
    <w:lvl w:ilvl="1" w:tplc="0CB0F6EE">
      <w:start w:val="4"/>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5679D0"/>
    <w:multiLevelType w:val="multilevel"/>
    <w:tmpl w:val="041298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92F7238"/>
    <w:multiLevelType w:val="multilevel"/>
    <w:tmpl w:val="55061C04"/>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5D1658"/>
    <w:multiLevelType w:val="hybridMultilevel"/>
    <w:tmpl w:val="DD26B8A6"/>
    <w:lvl w:ilvl="0" w:tplc="48E04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B6DE9"/>
    <w:multiLevelType w:val="multilevel"/>
    <w:tmpl w:val="86329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705C39"/>
    <w:multiLevelType w:val="hybridMultilevel"/>
    <w:tmpl w:val="9CB684A8"/>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B7F8C"/>
    <w:multiLevelType w:val="multilevel"/>
    <w:tmpl w:val="C50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C73F8D"/>
    <w:multiLevelType w:val="multilevel"/>
    <w:tmpl w:val="923E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5F3F45"/>
    <w:multiLevelType w:val="multilevel"/>
    <w:tmpl w:val="E3AA8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045E5"/>
    <w:multiLevelType w:val="multilevel"/>
    <w:tmpl w:val="6A1E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914658"/>
    <w:multiLevelType w:val="multilevel"/>
    <w:tmpl w:val="D772BA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373823"/>
    <w:multiLevelType w:val="multilevel"/>
    <w:tmpl w:val="B8A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860A65"/>
    <w:multiLevelType w:val="multilevel"/>
    <w:tmpl w:val="CDD627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127FF5"/>
    <w:multiLevelType w:val="hybridMultilevel"/>
    <w:tmpl w:val="B804DEE4"/>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A7AAD"/>
    <w:multiLevelType w:val="multilevel"/>
    <w:tmpl w:val="2B0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9C1399"/>
    <w:multiLevelType w:val="hybridMultilevel"/>
    <w:tmpl w:val="B804DEE4"/>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140F8"/>
    <w:multiLevelType w:val="multilevel"/>
    <w:tmpl w:val="7B30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2532D7"/>
    <w:multiLevelType w:val="multilevel"/>
    <w:tmpl w:val="5262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3D31B7"/>
    <w:multiLevelType w:val="hybridMultilevel"/>
    <w:tmpl w:val="B804DEE4"/>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A103C"/>
    <w:multiLevelType w:val="hybridMultilevel"/>
    <w:tmpl w:val="B804DEE4"/>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D4EA0"/>
    <w:multiLevelType w:val="hybridMultilevel"/>
    <w:tmpl w:val="688A04E6"/>
    <w:lvl w:ilvl="0" w:tplc="7C121B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6270D"/>
    <w:multiLevelType w:val="multilevel"/>
    <w:tmpl w:val="BAF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5047E"/>
    <w:multiLevelType w:val="multilevel"/>
    <w:tmpl w:val="F70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337E9E"/>
    <w:multiLevelType w:val="multilevel"/>
    <w:tmpl w:val="E58CD760"/>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55450"/>
    <w:multiLevelType w:val="multilevel"/>
    <w:tmpl w:val="5826041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C275E"/>
    <w:multiLevelType w:val="multilevel"/>
    <w:tmpl w:val="F56E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35A97"/>
    <w:multiLevelType w:val="multilevel"/>
    <w:tmpl w:val="CA329B2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4"/>
  </w:num>
  <w:num w:numId="4">
    <w:abstractNumId w:val="7"/>
  </w:num>
  <w:num w:numId="5">
    <w:abstractNumId w:val="13"/>
  </w:num>
  <w:num w:numId="6">
    <w:abstractNumId w:val="6"/>
  </w:num>
  <w:num w:numId="7">
    <w:abstractNumId w:val="2"/>
  </w:num>
  <w:num w:numId="8">
    <w:abstractNumId w:val="1"/>
  </w:num>
  <w:num w:numId="9">
    <w:abstractNumId w:val="0"/>
  </w:num>
  <w:num w:numId="10">
    <w:abstractNumId w:val="10"/>
  </w:num>
  <w:num w:numId="11">
    <w:abstractNumId w:val="9"/>
  </w:num>
  <w:num w:numId="12">
    <w:abstractNumId w:val="5"/>
  </w:num>
  <w:num w:numId="13">
    <w:abstractNumId w:val="26"/>
  </w:num>
  <w:num w:numId="14">
    <w:abstractNumId w:val="31"/>
  </w:num>
  <w:num w:numId="15">
    <w:abstractNumId w:val="19"/>
  </w:num>
  <w:num w:numId="16">
    <w:abstractNumId w:val="27"/>
  </w:num>
  <w:num w:numId="17">
    <w:abstractNumId w:val="18"/>
  </w:num>
  <w:num w:numId="18">
    <w:abstractNumId w:val="22"/>
  </w:num>
  <w:num w:numId="19">
    <w:abstractNumId w:val="14"/>
  </w:num>
  <w:num w:numId="20">
    <w:abstractNumId w:val="33"/>
  </w:num>
  <w:num w:numId="21">
    <w:abstractNumId w:val="36"/>
  </w:num>
  <w:num w:numId="22">
    <w:abstractNumId w:val="34"/>
  </w:num>
  <w:num w:numId="23">
    <w:abstractNumId w:val="11"/>
  </w:num>
  <w:num w:numId="24">
    <w:abstractNumId w:val="20"/>
  </w:num>
  <w:num w:numId="25">
    <w:abstractNumId w:val="21"/>
  </w:num>
  <w:num w:numId="26">
    <w:abstractNumId w:val="17"/>
  </w:num>
  <w:num w:numId="27">
    <w:abstractNumId w:val="35"/>
  </w:num>
  <w:num w:numId="28">
    <w:abstractNumId w:val="24"/>
  </w:num>
  <w:num w:numId="29">
    <w:abstractNumId w:val="32"/>
  </w:num>
  <w:num w:numId="30">
    <w:abstractNumId w:val="12"/>
  </w:num>
  <w:num w:numId="31">
    <w:abstractNumId w:val="16"/>
  </w:num>
  <w:num w:numId="32">
    <w:abstractNumId w:val="23"/>
  </w:num>
  <w:num w:numId="33">
    <w:abstractNumId w:val="28"/>
  </w:num>
  <w:num w:numId="34">
    <w:abstractNumId w:val="25"/>
  </w:num>
  <w:num w:numId="35">
    <w:abstractNumId w:val="29"/>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01"/>
    <w:rsid w:val="000253B4"/>
    <w:rsid w:val="00055A65"/>
    <w:rsid w:val="0007534D"/>
    <w:rsid w:val="00092243"/>
    <w:rsid w:val="000B1948"/>
    <w:rsid w:val="000B7B8D"/>
    <w:rsid w:val="000C50D3"/>
    <w:rsid w:val="000D642D"/>
    <w:rsid w:val="000E6186"/>
    <w:rsid w:val="000F05EC"/>
    <w:rsid w:val="000F4792"/>
    <w:rsid w:val="00116003"/>
    <w:rsid w:val="001207D6"/>
    <w:rsid w:val="00131EF4"/>
    <w:rsid w:val="00135D24"/>
    <w:rsid w:val="00142A74"/>
    <w:rsid w:val="00142CBA"/>
    <w:rsid w:val="0015362F"/>
    <w:rsid w:val="00195B50"/>
    <w:rsid w:val="001A2841"/>
    <w:rsid w:val="001A5156"/>
    <w:rsid w:val="001C117D"/>
    <w:rsid w:val="001C5201"/>
    <w:rsid w:val="001E250F"/>
    <w:rsid w:val="001F010A"/>
    <w:rsid w:val="001F19BF"/>
    <w:rsid w:val="001F6A7E"/>
    <w:rsid w:val="00205877"/>
    <w:rsid w:val="002154FD"/>
    <w:rsid w:val="00233A12"/>
    <w:rsid w:val="00244070"/>
    <w:rsid w:val="00252E2F"/>
    <w:rsid w:val="00277F0F"/>
    <w:rsid w:val="00292D68"/>
    <w:rsid w:val="002A7D2B"/>
    <w:rsid w:val="002B1879"/>
    <w:rsid w:val="002B3CBB"/>
    <w:rsid w:val="002C21CD"/>
    <w:rsid w:val="002C476F"/>
    <w:rsid w:val="002D2B89"/>
    <w:rsid w:val="00323678"/>
    <w:rsid w:val="0032651F"/>
    <w:rsid w:val="00337A5A"/>
    <w:rsid w:val="003452F0"/>
    <w:rsid w:val="003471C1"/>
    <w:rsid w:val="003603B6"/>
    <w:rsid w:val="003626CC"/>
    <w:rsid w:val="0036461B"/>
    <w:rsid w:val="00370EBA"/>
    <w:rsid w:val="00372426"/>
    <w:rsid w:val="00386BD3"/>
    <w:rsid w:val="003A1DDA"/>
    <w:rsid w:val="003A5073"/>
    <w:rsid w:val="003B503D"/>
    <w:rsid w:val="003C631F"/>
    <w:rsid w:val="003D61CA"/>
    <w:rsid w:val="00422A16"/>
    <w:rsid w:val="004868DE"/>
    <w:rsid w:val="004A30B5"/>
    <w:rsid w:val="004B13A4"/>
    <w:rsid w:val="004B390F"/>
    <w:rsid w:val="004B5D70"/>
    <w:rsid w:val="004B74AB"/>
    <w:rsid w:val="004C2215"/>
    <w:rsid w:val="004C2DF4"/>
    <w:rsid w:val="004E0942"/>
    <w:rsid w:val="004E701C"/>
    <w:rsid w:val="004F5F7A"/>
    <w:rsid w:val="00500FA4"/>
    <w:rsid w:val="00503E95"/>
    <w:rsid w:val="00506179"/>
    <w:rsid w:val="00533D35"/>
    <w:rsid w:val="00543DC0"/>
    <w:rsid w:val="0055755B"/>
    <w:rsid w:val="00566E06"/>
    <w:rsid w:val="00576B39"/>
    <w:rsid w:val="00584AF4"/>
    <w:rsid w:val="00593514"/>
    <w:rsid w:val="005B39B7"/>
    <w:rsid w:val="005B7D2D"/>
    <w:rsid w:val="005C5199"/>
    <w:rsid w:val="005F2A03"/>
    <w:rsid w:val="00607106"/>
    <w:rsid w:val="00627328"/>
    <w:rsid w:val="00643185"/>
    <w:rsid w:val="0064632C"/>
    <w:rsid w:val="006515FE"/>
    <w:rsid w:val="00671144"/>
    <w:rsid w:val="00675B8A"/>
    <w:rsid w:val="006967BE"/>
    <w:rsid w:val="006A0BA6"/>
    <w:rsid w:val="006C2BF3"/>
    <w:rsid w:val="006D2F69"/>
    <w:rsid w:val="006F0729"/>
    <w:rsid w:val="006F4667"/>
    <w:rsid w:val="007118B8"/>
    <w:rsid w:val="00715D2F"/>
    <w:rsid w:val="00732296"/>
    <w:rsid w:val="00756046"/>
    <w:rsid w:val="0079727D"/>
    <w:rsid w:val="00806799"/>
    <w:rsid w:val="00836FC9"/>
    <w:rsid w:val="0084434C"/>
    <w:rsid w:val="00851815"/>
    <w:rsid w:val="008623E9"/>
    <w:rsid w:val="00895095"/>
    <w:rsid w:val="008B2CF5"/>
    <w:rsid w:val="008B4140"/>
    <w:rsid w:val="008B4550"/>
    <w:rsid w:val="008B63D2"/>
    <w:rsid w:val="008B77BD"/>
    <w:rsid w:val="008F037E"/>
    <w:rsid w:val="00932FC3"/>
    <w:rsid w:val="0093465B"/>
    <w:rsid w:val="00972FFC"/>
    <w:rsid w:val="00980202"/>
    <w:rsid w:val="00981D9E"/>
    <w:rsid w:val="009A02C0"/>
    <w:rsid w:val="009C0561"/>
    <w:rsid w:val="009D6CE7"/>
    <w:rsid w:val="009F2BFE"/>
    <w:rsid w:val="00A06C6E"/>
    <w:rsid w:val="00A14E50"/>
    <w:rsid w:val="00A27E62"/>
    <w:rsid w:val="00A4130F"/>
    <w:rsid w:val="00A434EB"/>
    <w:rsid w:val="00A4663F"/>
    <w:rsid w:val="00A508FE"/>
    <w:rsid w:val="00A520C3"/>
    <w:rsid w:val="00AA045E"/>
    <w:rsid w:val="00AA5020"/>
    <w:rsid w:val="00AA7847"/>
    <w:rsid w:val="00AC2D50"/>
    <w:rsid w:val="00AC7427"/>
    <w:rsid w:val="00AD4EA0"/>
    <w:rsid w:val="00AD58C7"/>
    <w:rsid w:val="00AE68BC"/>
    <w:rsid w:val="00B01B2B"/>
    <w:rsid w:val="00B0538E"/>
    <w:rsid w:val="00B25300"/>
    <w:rsid w:val="00B270D9"/>
    <w:rsid w:val="00B352FD"/>
    <w:rsid w:val="00B411FC"/>
    <w:rsid w:val="00B7679F"/>
    <w:rsid w:val="00B77A5F"/>
    <w:rsid w:val="00BB03EF"/>
    <w:rsid w:val="00BC586A"/>
    <w:rsid w:val="00BE04A5"/>
    <w:rsid w:val="00BE246B"/>
    <w:rsid w:val="00C16BEA"/>
    <w:rsid w:val="00C33589"/>
    <w:rsid w:val="00C5075E"/>
    <w:rsid w:val="00C60138"/>
    <w:rsid w:val="00C668A5"/>
    <w:rsid w:val="00C72D22"/>
    <w:rsid w:val="00C75E2E"/>
    <w:rsid w:val="00C90570"/>
    <w:rsid w:val="00CA6166"/>
    <w:rsid w:val="00CB2429"/>
    <w:rsid w:val="00CB6F73"/>
    <w:rsid w:val="00CD57C6"/>
    <w:rsid w:val="00D015BE"/>
    <w:rsid w:val="00D045C1"/>
    <w:rsid w:val="00D22083"/>
    <w:rsid w:val="00D30820"/>
    <w:rsid w:val="00D32BF4"/>
    <w:rsid w:val="00D3659D"/>
    <w:rsid w:val="00D37FE1"/>
    <w:rsid w:val="00D56819"/>
    <w:rsid w:val="00D634A3"/>
    <w:rsid w:val="00D65ECA"/>
    <w:rsid w:val="00D844F0"/>
    <w:rsid w:val="00D867FA"/>
    <w:rsid w:val="00DB2201"/>
    <w:rsid w:val="00DC4606"/>
    <w:rsid w:val="00E043B7"/>
    <w:rsid w:val="00E128B0"/>
    <w:rsid w:val="00E16B58"/>
    <w:rsid w:val="00E404CB"/>
    <w:rsid w:val="00E42F45"/>
    <w:rsid w:val="00E74DAA"/>
    <w:rsid w:val="00E80949"/>
    <w:rsid w:val="00E86731"/>
    <w:rsid w:val="00EB1574"/>
    <w:rsid w:val="00ED5FE6"/>
    <w:rsid w:val="00EE40C3"/>
    <w:rsid w:val="00F003CA"/>
    <w:rsid w:val="00F04EC3"/>
    <w:rsid w:val="00F05982"/>
    <w:rsid w:val="00F10B1F"/>
    <w:rsid w:val="00F31825"/>
    <w:rsid w:val="00F41DAB"/>
    <w:rsid w:val="00F51E66"/>
    <w:rsid w:val="00F56F99"/>
    <w:rsid w:val="00F709FC"/>
    <w:rsid w:val="00FA628F"/>
    <w:rsid w:val="00FB1A62"/>
    <w:rsid w:val="00FC1226"/>
    <w:rsid w:val="00FD2000"/>
    <w:rsid w:val="00FE3456"/>
    <w:rsid w:val="00FE4BC1"/>
    <w:rsid w:val="00FE592D"/>
    <w:rsid w:val="00FE7A96"/>
    <w:rsid w:val="00FF6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989B"/>
  <w15:docId w15:val="{4C149368-E713-402E-86D9-3EED91F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66E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A0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45E"/>
    <w:rPr>
      <w:rFonts w:ascii="Tahoma" w:hAnsi="Tahoma" w:cs="Tahoma"/>
      <w:sz w:val="16"/>
      <w:szCs w:val="16"/>
    </w:rPr>
  </w:style>
  <w:style w:type="character" w:customStyle="1" w:styleId="react-xocs-alternative-link">
    <w:name w:val="react-xocs-alternative-link"/>
    <w:basedOn w:val="DefaultParagraphFont"/>
    <w:rsid w:val="002154FD"/>
  </w:style>
  <w:style w:type="character" w:customStyle="1" w:styleId="given-name">
    <w:name w:val="given-name"/>
    <w:basedOn w:val="DefaultParagraphFont"/>
    <w:rsid w:val="002154FD"/>
  </w:style>
  <w:style w:type="character" w:customStyle="1" w:styleId="text">
    <w:name w:val="text"/>
    <w:basedOn w:val="DefaultParagraphFont"/>
    <w:rsid w:val="002154FD"/>
  </w:style>
  <w:style w:type="character" w:customStyle="1" w:styleId="author-ref">
    <w:name w:val="author-ref"/>
    <w:basedOn w:val="DefaultParagraphFont"/>
    <w:rsid w:val="002154FD"/>
  </w:style>
  <w:style w:type="character" w:customStyle="1" w:styleId="Heading1Char">
    <w:name w:val="Heading 1 Char"/>
    <w:basedOn w:val="DefaultParagraphFont"/>
    <w:link w:val="Heading1"/>
    <w:uiPriority w:val="9"/>
    <w:rsid w:val="002154FD"/>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154FD"/>
  </w:style>
  <w:style w:type="character" w:customStyle="1" w:styleId="anchor-text">
    <w:name w:val="anchor-text"/>
    <w:basedOn w:val="DefaultParagraphFont"/>
    <w:rsid w:val="002154FD"/>
  </w:style>
  <w:style w:type="character" w:customStyle="1" w:styleId="sr-only">
    <w:name w:val="sr-only"/>
    <w:basedOn w:val="DefaultParagraphFont"/>
    <w:rsid w:val="00566E06"/>
  </w:style>
  <w:style w:type="character" w:customStyle="1" w:styleId="Heading2Char">
    <w:name w:val="Heading 2 Char"/>
    <w:basedOn w:val="DefaultParagraphFont"/>
    <w:link w:val="Heading2"/>
    <w:uiPriority w:val="9"/>
    <w:rsid w:val="00566E06"/>
    <w:rPr>
      <w:rFonts w:asciiTheme="majorHAnsi" w:eastAsiaTheme="majorEastAsia" w:hAnsiTheme="majorHAnsi" w:cstheme="majorBidi"/>
      <w:color w:val="365F91" w:themeColor="accent1" w:themeShade="BF"/>
      <w:sz w:val="26"/>
      <w:szCs w:val="26"/>
    </w:rPr>
  </w:style>
  <w:style w:type="character" w:customStyle="1" w:styleId="mwe-math-mathml-inline">
    <w:name w:val="mwe-math-mathml-inline"/>
    <w:basedOn w:val="DefaultParagraphFont"/>
    <w:rsid w:val="00A4663F"/>
  </w:style>
  <w:style w:type="character" w:customStyle="1" w:styleId="A7">
    <w:name w:val="A7"/>
    <w:uiPriority w:val="99"/>
    <w:rsid w:val="00981D9E"/>
    <w:rPr>
      <w:rFonts w:cs="Myriad Pro Light Cond"/>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2729">
      <w:bodyDiv w:val="1"/>
      <w:marLeft w:val="0"/>
      <w:marRight w:val="0"/>
      <w:marTop w:val="0"/>
      <w:marBottom w:val="0"/>
      <w:divBdr>
        <w:top w:val="none" w:sz="0" w:space="0" w:color="auto"/>
        <w:left w:val="none" w:sz="0" w:space="0" w:color="auto"/>
        <w:bottom w:val="none" w:sz="0" w:space="0" w:color="auto"/>
        <w:right w:val="none" w:sz="0" w:space="0" w:color="auto"/>
      </w:divBdr>
    </w:div>
    <w:div w:id="958876207">
      <w:bodyDiv w:val="1"/>
      <w:marLeft w:val="0"/>
      <w:marRight w:val="0"/>
      <w:marTop w:val="0"/>
      <w:marBottom w:val="0"/>
      <w:divBdr>
        <w:top w:val="none" w:sz="0" w:space="0" w:color="auto"/>
        <w:left w:val="none" w:sz="0" w:space="0" w:color="auto"/>
        <w:bottom w:val="none" w:sz="0" w:space="0" w:color="auto"/>
        <w:right w:val="none" w:sz="0" w:space="0" w:color="auto"/>
      </w:divBdr>
    </w:div>
    <w:div w:id="1111432669">
      <w:bodyDiv w:val="1"/>
      <w:marLeft w:val="0"/>
      <w:marRight w:val="0"/>
      <w:marTop w:val="0"/>
      <w:marBottom w:val="0"/>
      <w:divBdr>
        <w:top w:val="none" w:sz="0" w:space="0" w:color="auto"/>
        <w:left w:val="none" w:sz="0" w:space="0" w:color="auto"/>
        <w:bottom w:val="none" w:sz="0" w:space="0" w:color="auto"/>
        <w:right w:val="none" w:sz="0" w:space="0" w:color="auto"/>
      </w:divBdr>
    </w:div>
    <w:div w:id="2091389528">
      <w:bodyDiv w:val="1"/>
      <w:marLeft w:val="0"/>
      <w:marRight w:val="0"/>
      <w:marTop w:val="0"/>
      <w:marBottom w:val="0"/>
      <w:divBdr>
        <w:top w:val="none" w:sz="0" w:space="0" w:color="auto"/>
        <w:left w:val="none" w:sz="0" w:space="0" w:color="auto"/>
        <w:bottom w:val="none" w:sz="0" w:space="0" w:color="auto"/>
        <w:right w:val="none" w:sz="0" w:space="0" w:color="auto"/>
      </w:divBdr>
      <w:divsChild>
        <w:div w:id="41252489">
          <w:marLeft w:val="0"/>
          <w:marRight w:val="0"/>
          <w:marTop w:val="0"/>
          <w:marBottom w:val="0"/>
          <w:divBdr>
            <w:top w:val="none" w:sz="0" w:space="0" w:color="auto"/>
            <w:left w:val="none" w:sz="0" w:space="0" w:color="auto"/>
            <w:bottom w:val="none" w:sz="0" w:space="0" w:color="auto"/>
            <w:right w:val="none" w:sz="0" w:space="0" w:color="auto"/>
          </w:divBdr>
          <w:divsChild>
            <w:div w:id="323170134">
              <w:marLeft w:val="0"/>
              <w:marRight w:val="0"/>
              <w:marTop w:val="100"/>
              <w:marBottom w:val="100"/>
              <w:divBdr>
                <w:top w:val="none" w:sz="0" w:space="0" w:color="auto"/>
                <w:left w:val="none" w:sz="0" w:space="0" w:color="auto"/>
                <w:bottom w:val="none" w:sz="0" w:space="0" w:color="auto"/>
                <w:right w:val="none" w:sz="0" w:space="0" w:color="auto"/>
              </w:divBdr>
              <w:divsChild>
                <w:div w:id="1877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3146">
          <w:marLeft w:val="0"/>
          <w:marRight w:val="0"/>
          <w:marTop w:val="0"/>
          <w:marBottom w:val="120"/>
          <w:divBdr>
            <w:top w:val="none" w:sz="0" w:space="0" w:color="auto"/>
            <w:left w:val="none" w:sz="0" w:space="0" w:color="auto"/>
            <w:bottom w:val="none" w:sz="0" w:space="0" w:color="auto"/>
            <w:right w:val="none" w:sz="0" w:space="0" w:color="auto"/>
          </w:divBdr>
          <w:divsChild>
            <w:div w:id="1235508985">
              <w:marLeft w:val="0"/>
              <w:marRight w:val="0"/>
              <w:marTop w:val="0"/>
              <w:marBottom w:val="0"/>
              <w:divBdr>
                <w:top w:val="none" w:sz="0" w:space="0" w:color="auto"/>
                <w:left w:val="none" w:sz="0" w:space="0" w:color="auto"/>
                <w:bottom w:val="none" w:sz="0" w:space="0" w:color="auto"/>
                <w:right w:val="none" w:sz="0" w:space="0" w:color="auto"/>
              </w:divBdr>
              <w:divsChild>
                <w:div w:id="1227833834">
                  <w:marLeft w:val="0"/>
                  <w:marRight w:val="0"/>
                  <w:marTop w:val="0"/>
                  <w:marBottom w:val="0"/>
                  <w:divBdr>
                    <w:top w:val="none" w:sz="0" w:space="0" w:color="auto"/>
                    <w:left w:val="none" w:sz="0" w:space="0" w:color="auto"/>
                    <w:bottom w:val="none" w:sz="0" w:space="0" w:color="auto"/>
                    <w:right w:val="none" w:sz="0" w:space="0" w:color="auto"/>
                  </w:divBdr>
                  <w:divsChild>
                    <w:div w:id="582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journal/cytokine-and-growth-factor-reviews/vol/55/supp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cytokine-and-growth-factor-reviews" TargetMode="External"/><Relationship Id="rId5" Type="http://schemas.openxmlformats.org/officeDocument/2006/relationships/hyperlink" Target="https://www.sciencedirect.com/journal/archivos-de-bronconeumologia-english-edition/vol/55/issu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i11STORE</dc:creator>
  <cp:keywords/>
  <dc:description/>
  <cp:lastModifiedBy>i11STORE</cp:lastModifiedBy>
  <cp:revision>11</cp:revision>
  <dcterms:created xsi:type="dcterms:W3CDTF">2024-01-13T16:58:00Z</dcterms:created>
  <dcterms:modified xsi:type="dcterms:W3CDTF">2024-01-20T05:48:00Z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1437089bfd504df0b265e55341bebf71</vt:lpwstr>
  </property>
</Properties>
</file>